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B5218564">
      <w:pPr>
        <w:pStyle w:val="style0"/>
        <w:spacing w:after="1400"/>
        <w:rPr/>
      </w:pPr>
    </w:p>
    <w:p w14:paraId="35E5E43B">
      <w:pPr>
        <w:pStyle w:val="style0"/>
        <w:spacing w:after="120"/>
        <w:jc w:val="center"/>
        <w:rPr/>
      </w:pPr>
      <w:r>
        <w:rPr>
          <w:b/>
          <w:bCs/>
          <w:caps/>
          <w:color w:val="1f6f6b"/>
          <w:sz w:val="28"/>
          <w:szCs w:val="28"/>
        </w:rPr>
        <w:t>WHITE PAPER</w:t>
      </w:r>
    </w:p>
    <w:p w14:paraId="A23E60E5">
      <w:pPr>
        <w:pStyle w:val="style0"/>
        <w:spacing w:after="80"/>
        <w:jc w:val="center"/>
        <w:rPr/>
      </w:pPr>
      <w:r>
        <w:rPr>
          <w:b/>
          <w:bCs/>
          <w:color w:val="1f3864"/>
          <w:sz w:val="52"/>
          <w:szCs w:val="52"/>
        </w:rPr>
        <w:t>Safe &amp; Potable Drinking Water for Rural School Children</w:t>
      </w:r>
    </w:p>
    <w:p w14:paraId="A1B8F07E">
      <w:pPr>
        <w:pStyle w:val="style0"/>
        <w:spacing w:after="600"/>
        <w:jc w:val="center"/>
        <w:rPr/>
      </w:pPr>
      <w:r>
        <w:rPr>
          <w:color w:val="404040"/>
          <w:sz w:val="28"/>
          <w:szCs w:val="28"/>
        </w:rPr>
        <w:t>A Detailed Plan for Installing Reverse Osmosis (RO) Water Systems in Village Schools Adjoining Gurgaon and Vrindavan</w:t>
      </w:r>
    </w:p>
    <w:p w14:paraId="E74D4CCA">
      <w:pPr>
        <w:pStyle w:val="style0"/>
        <w:spacing w:after="100"/>
        <w:jc w:val="center"/>
        <w:rPr/>
      </w:pPr>
      <w:r>
        <w:rPr>
          <w:color w:val="595959"/>
          <w:sz w:val="22"/>
          <w:szCs w:val="22"/>
        </w:rPr>
        <w:t>Prepared for</w:t>
      </w:r>
    </w:p>
    <w:p w14:paraId="622BEA6C">
      <w:pPr>
        <w:pStyle w:val="style0"/>
        <w:spacing w:after="280"/>
        <w:jc w:val="center"/>
        <w:rPr/>
      </w:pPr>
      <w:r>
        <w:rPr>
          <w:b/>
          <w:bCs/>
          <w:color w:val="1f3864"/>
          <w:sz w:val="30"/>
          <w:szCs w:val="30"/>
        </w:rPr>
        <w:t>MAITRI SEVA TRUST</w:t>
      </w:r>
    </w:p>
    <w:p w14:paraId="A2C5DF44">
      <w:pPr>
        <w:pStyle w:val="style0"/>
        <w:spacing w:after="100"/>
        <w:jc w:val="center"/>
        <w:rPr/>
      </w:pPr>
      <w:r>
        <w:rPr>
          <w:color w:val="595959"/>
          <w:sz w:val="22"/>
          <w:szCs w:val="22"/>
          <w:lang w:val="en-US"/>
        </w:rPr>
        <w:t>Ju</w:t>
      </w:r>
      <w:r>
        <w:rPr>
          <w:color w:val="595959"/>
          <w:sz w:val="22"/>
          <w:szCs w:val="22"/>
        </w:rPr>
        <w:t>ne 2026</w:t>
      </w:r>
    </w:p>
    <w:p w14:paraId="60108827">
      <w:pPr>
        <w:pStyle w:val="style0"/>
        <w:spacing w:before="80"/>
        <w:jc w:val="center"/>
        <w:rPr/>
      </w:pPr>
      <w:r>
        <w:rPr>
          <w:i/>
          <w:iCs/>
          <w:color w:val="595959"/>
          <w:sz w:val="20"/>
          <w:szCs w:val="20"/>
        </w:rPr>
        <w:t>Indicative Investment Range: ₹5,00,000 – ₹15,00,000 (Phase I)</w:t>
      </w:r>
    </w:p>
    <w:p w14:paraId="675C8125">
      <w:pPr>
        <w:pStyle w:val="style0"/>
        <w:rPr/>
      </w:pPr>
      <w:r>
        <w:br w:type="page"/>
      </w:r>
    </w:p>
    <w:p w14:paraId="F11C16C0">
      <w:pPr>
        <w:pStyle w:val="style4106"/>
        <w:rPr/>
      </w:pPr>
      <w:r>
        <w:t>Table of Contents</w:t>
      </w:r>
    </w:p>
    <w:p w14:paraId="15CC49C3">
      <w:pPr>
        <w:pStyle w:val="style0"/>
        <w:rPr/>
      </w:pPr>
      <w:r>
        <w:rPr/>
        <w:fldChar w:fldCharType="begin"/>
      </w:r>
      <w:r>
        <w:instrText>TOC \h \o "1-2"</w:instrText>
      </w:r>
      <w:r>
        <w:rPr/>
        <w:fldChar w:fldCharType="separate"/>
      </w:r>
    </w:p>
    <w:p w14:paraId="28FF6886">
      <w:pPr>
        <w:pStyle w:val="style0"/>
        <w:rPr/>
      </w:pPr>
      <w:r>
        <w:rPr/>
        <w:fldChar w:fldCharType="end"/>
      </w:r>
    </w:p>
    <w:p w14:paraId="60DF9715">
      <w:pPr>
        <w:pStyle w:val="style0"/>
        <w:rPr/>
      </w:pPr>
      <w:r>
        <w:br w:type="page"/>
      </w:r>
    </w:p>
    <w:p w14:paraId="9A8FF678">
      <w:pPr>
        <w:pStyle w:val="style4106"/>
        <w:rPr/>
      </w:pPr>
      <w:r>
        <w:t>Executive Summary</w:t>
      </w:r>
    </w:p>
    <w:p w14:paraId="47DE4F5A">
      <w:pPr>
        <w:pStyle w:val="style0"/>
        <w:spacing w:after="160"/>
        <w:rPr/>
      </w:pPr>
      <w:r>
        <w:t>Maitri Seva Trust proposes a charitable investment of ₹5,00,000 to ₹15,00,000 to provide safe, potable drinking water to children in nine rural schools: seven village schools supported by GLA University in the Vrindavan/Mathura region, and two schools identified in villages adjoining Gurgaon. The proposed intervention is the installation of commercial-grade Reverse Osmosis (RO) water purification systems, complete with storage tanks, dispensing points, and a structured maintenance regime.</w:t>
      </w:r>
    </w:p>
    <w:p w14:paraId="469D622D">
      <w:pPr>
        <w:pStyle w:val="style0"/>
        <w:spacing w:after="160"/>
        <w:rPr/>
      </w:pPr>
      <w:r>
        <w:t>This white paper sets out a complete operating plan: the purpose and rationale for the intervention, the phased steps and planning required, technical specifications for the RO systems, a detailed capital expenditure (CapEx) estimate, a human resource plan built around one dedicated field coordinator, a three-year budget, key risks and a SWOT analysis, and the control and reporting framework needed to ensure the Trust's investment delivers a durable outcome rather than equipment that falls into disuse — a common failure mode for unmonitored rural water schemes in India.</w:t>
      </w:r>
    </w:p>
    <w:p w14:paraId="238E0592">
      <w:pPr>
        <w:pStyle w:val="style179"/>
        <w:numPr>
          <w:ilvl w:val="0"/>
          <w:numId w:val="1"/>
        </w:numPr>
        <w:spacing w:after="80"/>
        <w:rPr/>
      </w:pPr>
      <w:r>
        <w:rPr>
          <w:b/>
          <w:bCs/>
        </w:rPr>
        <w:t xml:space="preserve">Recommended Year 1 outlay: </w:t>
      </w:r>
      <w:r>
        <w:t>approximately ₹12.0 lakh, covering site assessment, installation in six priority schools (both Gurgaon schools plus four priority Vrindavan-area villages), recruitment of a Field Coordinator, and first-year operations and maintenance (O&amp;M). This fits within the Trust's stated investment band.</w:t>
      </w:r>
    </w:p>
    <w:p w14:paraId="580CF3CE">
      <w:pPr>
        <w:pStyle w:val="style179"/>
        <w:numPr>
          <w:ilvl w:val="0"/>
          <w:numId w:val="1"/>
        </w:numPr>
        <w:spacing w:after="80"/>
        <w:rPr/>
      </w:pPr>
      <w:r>
        <w:rPr>
          <w:b/>
          <w:bCs/>
        </w:rPr>
        <w:t xml:space="preserve">Year 2 outlay: </w:t>
      </w:r>
      <w:r>
        <w:t>approximately ₹8.7 lakh, covering installation in the remaining three Vrindavan-area schools, continued staffing, and O&amp;M for all nine sites.</w:t>
      </w:r>
    </w:p>
    <w:p w14:paraId="74839FCA">
      <w:pPr>
        <w:pStyle w:val="style179"/>
        <w:numPr>
          <w:ilvl w:val="0"/>
          <w:numId w:val="1"/>
        </w:numPr>
        <w:spacing w:after="80"/>
        <w:rPr/>
      </w:pPr>
      <w:r>
        <w:rPr>
          <w:b/>
          <w:bCs/>
        </w:rPr>
        <w:t xml:space="preserve">Year 3 outlay: </w:t>
      </w:r>
      <w:r>
        <w:t>approximately ₹5.6 lakh, focused on consolidation, water quality audits, and sustainability/handover planning, with no further capital expenditure required.</w:t>
      </w:r>
    </w:p>
    <w:p w14:paraId="EF6B2E3C">
      <w:pPr>
        <w:pStyle w:val="style0"/>
        <w:spacing w:after="160"/>
        <w:rPr/>
      </w:pPr>
      <w:r>
        <w:t>The recommended approach treats the Trust's stated ₹5–15 lakh corpus as the Year 1 commitment, with Years 2 and 3 positioned as a renewable annual commitment contingent on Year 1 outcomes — a structure that gives the Trust an early, low-risk proof of concept before committing further funds.</w:t>
      </w:r>
    </w:p>
    <w:p w14:paraId="D2BF8BDE">
      <w:pPr>
        <w:pStyle w:val="style0"/>
        <w:spacing w:after="160"/>
        <w:rPr/>
      </w:pPr>
      <w:r>
        <w:t>Two RO equipment tiers are presented in Section 5: an Economy model with a unit cost of ₹20,000–₹40,000, suited to smaller schools, and a Standard model (~₹65,000 per unit) recommended for larger schools. A blended use of both tiers (Section 7.5) can bring all 9 schools online in Year 1 itself, within the stated budget ceiling.</w:t>
      </w:r>
    </w:p>
    <w:p w14:paraId="B8F14EE9">
      <w:pPr>
        <w:pStyle w:val="style0"/>
        <w:spacing w:after="200"/>
        <w:rPr/>
      </w:pPr>
      <w:r>
        <w:rPr>
          <w:i/>
          <w:iCs/>
          <w:color w:val="595959"/>
          <w:sz w:val="19"/>
          <w:szCs w:val="19"/>
        </w:rPr>
        <w:t>All costs in this paper are indicative, based on prevailing Indian market rates for commercial school-scale RO systems as of 2026. They should be validated against at least three vendor quotations before funds are committed (see Section 5).</w:t>
      </w:r>
    </w:p>
    <w:p w14:paraId="361A3D32">
      <w:pPr>
        <w:pStyle w:val="style4106"/>
        <w:rPr/>
      </w:pPr>
      <w:r>
        <w:t>1. Background and Purpose</w:t>
      </w:r>
    </w:p>
    <w:p w14:paraId="7EBDC69F">
      <w:pPr>
        <w:pStyle w:val="style4107"/>
        <w:rPr/>
      </w:pPr>
      <w:r>
        <w:t>1.1 The Problem</w:t>
      </w:r>
    </w:p>
    <w:p w14:paraId="335E8912">
      <w:pPr>
        <w:pStyle w:val="style0"/>
        <w:spacing w:after="160"/>
        <w:rPr/>
      </w:pPr>
      <w:r>
        <w:t>Access to safe drinking water remains an unresolved gap in many rural and semi-rural Indian schools. Children frequently depend on borewell or handpump water that may carry high Total Dissolved Solids (TDS), excess fluoride or nitrate, or microbial contamination, especially in the Gangetic and Yamuna river-belt regions that include both the Vrindavan/Mathura area and the rural periphery of Gurgaon. Unsafe water is directly linked to water-borne illness, absenteeism, and reduced learning outcomes — concerns squarely within Maitri Seva Trust's charitable mandate.</w:t>
      </w:r>
    </w:p>
    <w:p w14:paraId="1AE0F834">
      <w:pPr>
        <w:pStyle w:val="style4107"/>
        <w:rPr/>
      </w:pPr>
      <w:r>
        <w:t>1.2 The Opportunity</w:t>
      </w:r>
    </w:p>
    <w:p w14:paraId="A7F4D5BA">
      <w:pPr>
        <w:pStyle w:val="style0"/>
        <w:spacing w:after="160"/>
        <w:rPr/>
      </w:pPr>
      <w:r>
        <w:t>GLA University, Vrindavan already supports seven village schools through its outreach and CSR activities, giving the initiative an established institutional partner with local knowledge, goodwill, and physical proximity in that cluster. Two additional schools have separately been identified in villages near Gurgaon. Together, these nine schools form a clearly bounded, well-introduced scope for a pilot programme — large enough to demonstrate impact, small enough to be tightly monitored.</w:t>
      </w:r>
    </w:p>
    <w:p w14:paraId="9D32EE3D">
      <w:pPr>
        <w:pStyle w:val="style4107"/>
        <w:rPr/>
      </w:pPr>
      <w:r>
        <w:t>1.3 Purpose of This Initiative</w:t>
      </w:r>
    </w:p>
    <w:p w14:paraId="51D02BC5">
      <w:pPr>
        <w:pStyle w:val="style179"/>
        <w:numPr>
          <w:ilvl w:val="0"/>
          <w:numId w:val="1"/>
        </w:numPr>
        <w:spacing w:after="80"/>
        <w:rPr/>
      </w:pPr>
      <w:r>
        <w:t>Ensure every enrolled child at the nine schools has reliable access to potable water meeting Indian drinking water standards (IS 10500).</w:t>
      </w:r>
    </w:p>
    <w:p w14:paraId="A7D63728">
      <w:pPr>
        <w:pStyle w:val="style179"/>
        <w:numPr>
          <w:ilvl w:val="0"/>
          <w:numId w:val="1"/>
        </w:numPr>
        <w:spacing w:after="80"/>
        <w:rPr/>
      </w:pPr>
      <w:r>
        <w:t>Reduce water-borne illness and the school absenteeism associated with it.</w:t>
      </w:r>
    </w:p>
    <w:p w14:paraId="4223DD50">
      <w:pPr>
        <w:pStyle w:val="style179"/>
        <w:numPr>
          <w:ilvl w:val="0"/>
          <w:numId w:val="1"/>
        </w:numPr>
        <w:spacing w:after="80"/>
        <w:rPr/>
      </w:pPr>
      <w:r>
        <w:t>Build a replicable, sustainable model for rural school water infrastructure that can be scaled to additional GLA-supported villages or other Trust geographies in future.</w:t>
      </w:r>
    </w:p>
    <w:p w14:paraId="ECDD4729">
      <w:pPr>
        <w:pStyle w:val="style179"/>
        <w:numPr>
          <w:ilvl w:val="0"/>
          <w:numId w:val="1"/>
        </w:numPr>
        <w:spacing w:after="80"/>
        <w:rPr/>
      </w:pPr>
      <w:r>
        <w:t>Strengthen the working partnership between Maitri Seva Trust and GLA University, with the University acting as a local anchor for the Vrindavan cluster.</w:t>
      </w:r>
    </w:p>
    <w:p w14:paraId="5C67EC94">
      <w:pPr>
        <w:pStyle w:val="style179"/>
        <w:numPr>
          <w:ilvl w:val="0"/>
          <w:numId w:val="1"/>
        </w:numPr>
        <w:spacing w:after="80"/>
        <w:rPr/>
      </w:pPr>
      <w:r>
        <w:t>Demonstrate to the Trust's donors and trustees a disciplined, accountable model of charitable capital deployment — capex paired with committed monitoring and reporting, not a one-time handover.</w:t>
      </w:r>
    </w:p>
    <w:p w14:paraId="1C4CA891">
      <w:pPr>
        <w:pStyle w:val="style4106"/>
        <w:rPr/>
      </w:pPr>
      <w:r>
        <w:t>2. Project Scope</w:t>
      </w:r>
    </w:p>
    <w:p w14:paraId="F6E9AA10">
      <w:pPr>
        <w:pStyle w:val="style0"/>
        <w:spacing w:after="160"/>
        <w:rPr/>
      </w:pPr>
      <w:r>
        <w:t>The programme covers nine schools across two clusters. Exact school names, enrolment figures, and precise locations are to be confirmed and finalised jointly with GLA University and the Gurgaon contacts during the Phase 1 site assessment (Section 4); the table below reflects the working scope as currently understood.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700"/>
        <w:gridCol w:w="4046"/>
        <w:gridCol w:w="3300"/>
        <w:gridCol w:w="1700"/>
      </w:tblGrid>
      <w:tr w14:paraId="525BD336">
        <w:trPr>
          <w:tblHeader/>
        </w:trPr>
        <w:tc>
          <w:tcPr>
            <w:tcW w:w="7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FA9264D7">
            <w:pPr>
              <w:pStyle w:val="style0"/>
              <w:jc w:val="left"/>
              <w:rPr/>
            </w:pPr>
            <w:r>
              <w:rPr>
                <w:b/>
                <w:bCs/>
                <w:color w:val="ffffff"/>
              </w:rPr>
              <w:t>#</w:t>
            </w:r>
          </w:p>
        </w:tc>
        <w:tc>
          <w:tcPr>
            <w:tcW w:w="40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AF62692F">
            <w:pPr>
              <w:pStyle w:val="style0"/>
              <w:jc w:val="left"/>
              <w:rPr/>
            </w:pPr>
            <w:r>
              <w:rPr>
                <w:b/>
                <w:bCs/>
                <w:color w:val="ffffff"/>
              </w:rPr>
              <w:t>School / Location</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13251E1E">
            <w:pPr>
              <w:pStyle w:val="style0"/>
              <w:jc w:val="left"/>
              <w:rPr/>
            </w:pPr>
            <w:r>
              <w:rPr>
                <w:b/>
                <w:bCs/>
                <w:color w:val="ffffff"/>
              </w:rPr>
              <w:t>Cluster</w:t>
            </w:r>
          </w:p>
        </w:tc>
        <w:tc>
          <w:tcPr>
            <w:tcW w:w="17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C2A2A8C6">
            <w:pPr>
              <w:pStyle w:val="style0"/>
              <w:jc w:val="left"/>
              <w:rPr/>
            </w:pPr>
            <w:r>
              <w:rPr>
                <w:b/>
                <w:bCs/>
                <w:color w:val="ffffff"/>
              </w:rPr>
              <w:t>Suggested Phase</w:t>
            </w:r>
          </w:p>
        </w:tc>
      </w:tr>
      <w:tr w14:paraId="3A99E410">
        <w:tblPrEx/>
        <w:trPr/>
        <w:tc>
          <w:tcPr>
            <w:tcW w:w="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047B584">
            <w:pPr>
              <w:pStyle w:val="style0"/>
              <w:jc w:val="left"/>
              <w:rPr/>
            </w:pPr>
            <w:r>
              <w:rPr>
                <w:b w:val="false"/>
                <w:bCs w:val="false"/>
              </w:rPr>
              <w:t>1</w:t>
            </w:r>
          </w:p>
        </w:tc>
        <w:tc>
          <w:tcPr>
            <w:tcW w:w="4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980559F5">
            <w:pPr>
              <w:pStyle w:val="style0"/>
              <w:jc w:val="left"/>
              <w:rPr/>
            </w:pPr>
            <w:r>
              <w:rPr>
                <w:b w:val="false"/>
                <w:bCs w:val="false"/>
              </w:rPr>
              <w:t>Village School 1 (GLA-supported)</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8A4363E">
            <w:pPr>
              <w:pStyle w:val="style0"/>
              <w:jc w:val="left"/>
              <w:rPr/>
            </w:pPr>
            <w:r>
              <w:rPr>
                <w:b w:val="false"/>
                <w:bCs w:val="false"/>
              </w:rPr>
              <w:t>Vrindavan / Mathura region, UP</w:t>
            </w:r>
          </w:p>
        </w:tc>
        <w:tc>
          <w:tcPr>
            <w:tcW w:w="1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24E2679E">
            <w:pPr>
              <w:pStyle w:val="style0"/>
              <w:jc w:val="left"/>
              <w:rPr/>
            </w:pPr>
            <w:r>
              <w:rPr>
                <w:b w:val="false"/>
                <w:bCs w:val="false"/>
              </w:rPr>
              <w:t>Phase 1</w:t>
            </w:r>
          </w:p>
        </w:tc>
      </w:tr>
      <w:tr w14:paraId="01B32D30">
        <w:tblPrEx/>
        <w:trPr/>
        <w:tc>
          <w:tcPr>
            <w:tcW w:w="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5DAFDF6">
            <w:pPr>
              <w:pStyle w:val="style0"/>
              <w:jc w:val="left"/>
              <w:rPr/>
            </w:pPr>
            <w:r>
              <w:rPr>
                <w:b w:val="false"/>
                <w:bCs w:val="false"/>
              </w:rPr>
              <w:t>2</w:t>
            </w:r>
          </w:p>
        </w:tc>
        <w:tc>
          <w:tcPr>
            <w:tcW w:w="4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1F3C77EB">
            <w:pPr>
              <w:pStyle w:val="style0"/>
              <w:jc w:val="left"/>
              <w:rPr/>
            </w:pPr>
            <w:r>
              <w:rPr>
                <w:b w:val="false"/>
                <w:bCs w:val="false"/>
              </w:rPr>
              <w:t>Village School 2 (GLA-supported)</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9BC3B3B8">
            <w:pPr>
              <w:pStyle w:val="style0"/>
              <w:jc w:val="left"/>
              <w:rPr/>
            </w:pPr>
            <w:r>
              <w:rPr>
                <w:b w:val="false"/>
                <w:bCs w:val="false"/>
              </w:rPr>
              <w:t>Vrindavan / Mathura region, UP</w:t>
            </w:r>
          </w:p>
        </w:tc>
        <w:tc>
          <w:tcPr>
            <w:tcW w:w="1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DA8F2AD">
            <w:pPr>
              <w:pStyle w:val="style0"/>
              <w:jc w:val="left"/>
              <w:rPr/>
            </w:pPr>
            <w:r>
              <w:rPr>
                <w:b w:val="false"/>
                <w:bCs w:val="false"/>
              </w:rPr>
              <w:t>Phase 1</w:t>
            </w:r>
          </w:p>
        </w:tc>
      </w:tr>
      <w:tr w14:paraId="F9252F36">
        <w:tblPrEx/>
        <w:trPr/>
        <w:tc>
          <w:tcPr>
            <w:tcW w:w="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AAA8413">
            <w:pPr>
              <w:pStyle w:val="style0"/>
              <w:jc w:val="left"/>
              <w:rPr/>
            </w:pPr>
            <w:r>
              <w:rPr>
                <w:b w:val="false"/>
                <w:bCs w:val="false"/>
              </w:rPr>
              <w:t>3</w:t>
            </w:r>
          </w:p>
        </w:tc>
        <w:tc>
          <w:tcPr>
            <w:tcW w:w="4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70E49D7">
            <w:pPr>
              <w:pStyle w:val="style0"/>
              <w:jc w:val="left"/>
              <w:rPr/>
            </w:pPr>
            <w:r>
              <w:rPr>
                <w:b w:val="false"/>
                <w:bCs w:val="false"/>
              </w:rPr>
              <w:t>Village School 3 (GLA-supported)</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312D5A18">
            <w:pPr>
              <w:pStyle w:val="style0"/>
              <w:jc w:val="left"/>
              <w:rPr/>
            </w:pPr>
            <w:r>
              <w:rPr>
                <w:b w:val="false"/>
                <w:bCs w:val="false"/>
              </w:rPr>
              <w:t>Vrindavan / Mathura region, UP</w:t>
            </w:r>
          </w:p>
        </w:tc>
        <w:tc>
          <w:tcPr>
            <w:tcW w:w="1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95AF6DA0">
            <w:pPr>
              <w:pStyle w:val="style0"/>
              <w:jc w:val="left"/>
              <w:rPr/>
            </w:pPr>
            <w:r>
              <w:rPr>
                <w:b w:val="false"/>
                <w:bCs w:val="false"/>
              </w:rPr>
              <w:t>Phase 1</w:t>
            </w:r>
          </w:p>
        </w:tc>
      </w:tr>
      <w:tr w14:paraId="494AEA4E">
        <w:tblPrEx/>
        <w:trPr/>
        <w:tc>
          <w:tcPr>
            <w:tcW w:w="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A53DB7D5">
            <w:pPr>
              <w:pStyle w:val="style0"/>
              <w:jc w:val="left"/>
              <w:rPr/>
            </w:pPr>
            <w:r>
              <w:rPr>
                <w:b w:val="false"/>
                <w:bCs w:val="false"/>
              </w:rPr>
              <w:t>4</w:t>
            </w:r>
          </w:p>
        </w:tc>
        <w:tc>
          <w:tcPr>
            <w:tcW w:w="4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D3E0D96">
            <w:pPr>
              <w:pStyle w:val="style0"/>
              <w:jc w:val="left"/>
              <w:rPr/>
            </w:pPr>
            <w:r>
              <w:rPr>
                <w:b w:val="false"/>
                <w:bCs w:val="false"/>
              </w:rPr>
              <w:t>Village School 4 (GLA-supported)</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E4F0714">
            <w:pPr>
              <w:pStyle w:val="style0"/>
              <w:jc w:val="left"/>
              <w:rPr/>
            </w:pPr>
            <w:r>
              <w:rPr>
                <w:b w:val="false"/>
                <w:bCs w:val="false"/>
              </w:rPr>
              <w:t>Vrindavan / Mathura region, UP</w:t>
            </w:r>
          </w:p>
        </w:tc>
        <w:tc>
          <w:tcPr>
            <w:tcW w:w="1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A6C410E7">
            <w:pPr>
              <w:pStyle w:val="style0"/>
              <w:jc w:val="left"/>
              <w:rPr/>
            </w:pPr>
            <w:r>
              <w:rPr>
                <w:b w:val="false"/>
                <w:bCs w:val="false"/>
              </w:rPr>
              <w:t>Phase 1</w:t>
            </w:r>
          </w:p>
        </w:tc>
      </w:tr>
      <w:tr w14:paraId="17F1305B">
        <w:tblPrEx/>
        <w:trPr/>
        <w:tc>
          <w:tcPr>
            <w:tcW w:w="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424FE78">
            <w:pPr>
              <w:pStyle w:val="style0"/>
              <w:jc w:val="left"/>
              <w:rPr/>
            </w:pPr>
            <w:r>
              <w:rPr>
                <w:b w:val="false"/>
                <w:bCs w:val="false"/>
              </w:rPr>
              <w:t>5</w:t>
            </w:r>
          </w:p>
        </w:tc>
        <w:tc>
          <w:tcPr>
            <w:tcW w:w="4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8728174">
            <w:pPr>
              <w:pStyle w:val="style0"/>
              <w:jc w:val="left"/>
              <w:rPr/>
            </w:pPr>
            <w:r>
              <w:rPr>
                <w:b w:val="false"/>
                <w:bCs w:val="false"/>
              </w:rPr>
              <w:t>Village School 5 (GLA-supported)</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9D16DF11">
            <w:pPr>
              <w:pStyle w:val="style0"/>
              <w:jc w:val="left"/>
              <w:rPr/>
            </w:pPr>
            <w:r>
              <w:rPr>
                <w:b w:val="false"/>
                <w:bCs w:val="false"/>
              </w:rPr>
              <w:t>Vrindavan / Mathura region, UP</w:t>
            </w:r>
          </w:p>
        </w:tc>
        <w:tc>
          <w:tcPr>
            <w:tcW w:w="1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A09ECFA">
            <w:pPr>
              <w:pStyle w:val="style0"/>
              <w:jc w:val="left"/>
              <w:rPr/>
            </w:pPr>
            <w:r>
              <w:rPr>
                <w:b w:val="false"/>
                <w:bCs w:val="false"/>
              </w:rPr>
              <w:t>Phase 2</w:t>
            </w:r>
          </w:p>
        </w:tc>
      </w:tr>
      <w:tr w14:paraId="B55EEA1E">
        <w:tblPrEx/>
        <w:trPr/>
        <w:tc>
          <w:tcPr>
            <w:tcW w:w="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CCBA385">
            <w:pPr>
              <w:pStyle w:val="style0"/>
              <w:jc w:val="left"/>
              <w:rPr/>
            </w:pPr>
            <w:r>
              <w:rPr>
                <w:b w:val="false"/>
                <w:bCs w:val="false"/>
              </w:rPr>
              <w:t>6</w:t>
            </w:r>
          </w:p>
        </w:tc>
        <w:tc>
          <w:tcPr>
            <w:tcW w:w="4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FFE3C55">
            <w:pPr>
              <w:pStyle w:val="style0"/>
              <w:jc w:val="left"/>
              <w:rPr/>
            </w:pPr>
            <w:r>
              <w:rPr>
                <w:b w:val="false"/>
                <w:bCs w:val="false"/>
              </w:rPr>
              <w:t>Village School 6 (GLA-supported)</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D06C692">
            <w:pPr>
              <w:pStyle w:val="style0"/>
              <w:jc w:val="left"/>
              <w:rPr/>
            </w:pPr>
            <w:r>
              <w:rPr>
                <w:b w:val="false"/>
                <w:bCs w:val="false"/>
              </w:rPr>
              <w:t>Vrindavan / Mathura region, UP</w:t>
            </w:r>
          </w:p>
        </w:tc>
        <w:tc>
          <w:tcPr>
            <w:tcW w:w="1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01DD07CB">
            <w:pPr>
              <w:pStyle w:val="style0"/>
              <w:jc w:val="left"/>
              <w:rPr/>
            </w:pPr>
            <w:r>
              <w:rPr>
                <w:b w:val="false"/>
                <w:bCs w:val="false"/>
              </w:rPr>
              <w:t>Phase 2</w:t>
            </w:r>
          </w:p>
        </w:tc>
      </w:tr>
      <w:tr w14:paraId="CA436DED">
        <w:tblPrEx/>
        <w:trPr/>
        <w:tc>
          <w:tcPr>
            <w:tcW w:w="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51BCE126">
            <w:pPr>
              <w:pStyle w:val="style0"/>
              <w:jc w:val="left"/>
              <w:rPr/>
            </w:pPr>
            <w:r>
              <w:rPr>
                <w:b w:val="false"/>
                <w:bCs w:val="false"/>
              </w:rPr>
              <w:t>7</w:t>
            </w:r>
          </w:p>
        </w:tc>
        <w:tc>
          <w:tcPr>
            <w:tcW w:w="4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D73F5AF">
            <w:pPr>
              <w:pStyle w:val="style0"/>
              <w:jc w:val="left"/>
              <w:rPr/>
            </w:pPr>
            <w:r>
              <w:rPr>
                <w:b w:val="false"/>
                <w:bCs w:val="false"/>
              </w:rPr>
              <w:t>Village School 7 (GLA-supported)</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5FE5F7BD">
            <w:pPr>
              <w:pStyle w:val="style0"/>
              <w:jc w:val="left"/>
              <w:rPr/>
            </w:pPr>
            <w:r>
              <w:rPr>
                <w:b w:val="false"/>
                <w:bCs w:val="false"/>
              </w:rPr>
              <w:t>Vrindavan / Mathura region, UP</w:t>
            </w:r>
          </w:p>
        </w:tc>
        <w:tc>
          <w:tcPr>
            <w:tcW w:w="1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25CC1FE">
            <w:pPr>
              <w:pStyle w:val="style0"/>
              <w:jc w:val="left"/>
              <w:rPr/>
            </w:pPr>
            <w:r>
              <w:rPr>
                <w:b w:val="false"/>
                <w:bCs w:val="false"/>
              </w:rPr>
              <w:t>Phase 2</w:t>
            </w:r>
          </w:p>
        </w:tc>
      </w:tr>
      <w:tr w14:paraId="2AB9BD9F">
        <w:tblPrEx/>
        <w:trPr/>
        <w:tc>
          <w:tcPr>
            <w:tcW w:w="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28BABEC">
            <w:pPr>
              <w:pStyle w:val="style0"/>
              <w:jc w:val="left"/>
              <w:rPr/>
            </w:pPr>
            <w:r>
              <w:rPr>
                <w:b w:val="false"/>
                <w:bCs w:val="false"/>
              </w:rPr>
              <w:t>8</w:t>
            </w:r>
          </w:p>
        </w:tc>
        <w:tc>
          <w:tcPr>
            <w:tcW w:w="4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4E3A8F4">
            <w:pPr>
              <w:pStyle w:val="style0"/>
              <w:jc w:val="left"/>
              <w:rPr/>
            </w:pPr>
            <w:r>
              <w:rPr>
                <w:b w:val="false"/>
                <w:bCs w:val="false"/>
              </w:rPr>
              <w:t>School A (identified)</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AF559E48">
            <w:pPr>
              <w:pStyle w:val="style0"/>
              <w:jc w:val="left"/>
              <w:rPr/>
            </w:pPr>
            <w:r>
              <w:rPr>
                <w:b w:val="false"/>
                <w:bCs w:val="false"/>
              </w:rPr>
              <w:t>Rural belt, Gurgaon, Haryana</w:t>
            </w:r>
          </w:p>
        </w:tc>
        <w:tc>
          <w:tcPr>
            <w:tcW w:w="17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9F0E3381">
            <w:pPr>
              <w:pStyle w:val="style0"/>
              <w:jc w:val="left"/>
              <w:rPr/>
            </w:pPr>
            <w:r>
              <w:rPr>
                <w:b w:val="false"/>
                <w:bCs w:val="false"/>
              </w:rPr>
              <w:t>Phase 1</w:t>
            </w:r>
          </w:p>
        </w:tc>
      </w:tr>
      <w:tr w14:paraId="4914064A">
        <w:tblPrEx/>
        <w:trPr/>
        <w:tc>
          <w:tcPr>
            <w:tcW w:w="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DF28C01">
            <w:pPr>
              <w:pStyle w:val="style0"/>
              <w:jc w:val="left"/>
              <w:rPr/>
            </w:pPr>
            <w:r>
              <w:rPr>
                <w:b w:val="false"/>
                <w:bCs w:val="false"/>
              </w:rPr>
              <w:t>9</w:t>
            </w:r>
          </w:p>
        </w:tc>
        <w:tc>
          <w:tcPr>
            <w:tcW w:w="4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5980683">
            <w:pPr>
              <w:pStyle w:val="style0"/>
              <w:jc w:val="left"/>
              <w:rPr/>
            </w:pPr>
            <w:r>
              <w:rPr>
                <w:b w:val="false"/>
                <w:bCs w:val="false"/>
              </w:rPr>
              <w:t>School B (identified)</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6EE4DC8A">
            <w:pPr>
              <w:pStyle w:val="style0"/>
              <w:jc w:val="left"/>
              <w:rPr/>
            </w:pPr>
            <w:r>
              <w:rPr>
                <w:b w:val="false"/>
                <w:bCs w:val="false"/>
              </w:rPr>
              <w:t>Rural belt, Gurgaon, Haryana</w:t>
            </w:r>
          </w:p>
        </w:tc>
        <w:tc>
          <w:tcPr>
            <w:tcW w:w="17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3330CE72">
            <w:pPr>
              <w:pStyle w:val="style0"/>
              <w:jc w:val="left"/>
              <w:rPr/>
            </w:pPr>
            <w:r>
              <w:rPr>
                <w:b w:val="false"/>
                <w:bCs w:val="false"/>
              </w:rPr>
              <w:t>Phase 1</w:t>
            </w:r>
          </w:p>
        </w:tc>
      </w:tr>
    </w:tbl>
    <w:p w14:paraId="7DC95CF6">
      <w:pPr>
        <w:pStyle w:val="style0"/>
        <w:spacing w:after="200"/>
        <w:rPr/>
      </w:pPr>
      <w:r>
        <w:rPr>
          <w:i/>
          <w:iCs/>
          <w:color w:val="595959"/>
          <w:sz w:val="19"/>
          <w:szCs w:val="19"/>
        </w:rPr>
        <w:t>Phasing (Phase 1 / Phase 2) is a recommendation, prioritising the two Gurgaon schools and the four most water-stressed Vrindavan-area villages for Year 1, with the remaining three Vrindavan villages in Year 2. The Trust and GLA University should jointly confirm prioritisation based on actual water quality and need.</w:t>
      </w:r>
    </w:p>
    <w:p w14:paraId="C267124A">
      <w:pPr>
        <w:pStyle w:val="style4107"/>
        <w:rPr/>
      </w:pPr>
      <w:r>
        <w:t>2.1 A Key Geographic Consideration</w:t>
      </w:r>
    </w:p>
    <w:p w14:paraId="A46DD9A4">
      <w:pPr>
        <w:pStyle w:val="style0"/>
        <w:spacing w:after="160"/>
        <w:rPr/>
      </w:pPr>
      <w:r>
        <w:t>Gurgaon and the Vrindavan/Mathura region are roughly 180 km apart (around 3.5–4 hours by road) and fall in different states (Haryana and Uttar Pradesh). This has direct implications for staffing and monitoring design (Section 7) and is treated as a planning constraint throughout this paper rather than an afterthought.</w:t>
      </w:r>
    </w:p>
    <w:p w14:paraId="9C2AC73A">
      <w:pPr>
        <w:pStyle w:val="style4106"/>
        <w:rPr/>
      </w:pPr>
      <w:r>
        <w:t>3. Steps to Be Taken and Planning Framework</w:t>
      </w:r>
    </w:p>
    <w:p w14:paraId="7D1F2303">
      <w:pPr>
        <w:pStyle w:val="style0"/>
        <w:spacing w:after="160"/>
        <w:rPr/>
      </w:pPr>
      <w:r>
        <w:t>The rollout is sequenced in nine steps (Phase 0 through Phase 8) rather than attempted simultaneously across all nine schools. This limits early execution risk and lets the Trust validate vendor quality and the coordinator's effectiveness on a smaller batch before the larger commitment in Year 2.</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852"/>
        <w:gridCol w:w="5025"/>
        <w:gridCol w:w="1770"/>
        <w:gridCol w:w="2101"/>
      </w:tblGrid>
      <w:tr w14:paraId="68BC15B2">
        <w:trPr>
          <w:tblHeader/>
        </w:trPr>
        <w:tc>
          <w:tcPr>
            <w:tcW w:w="55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D02B2B27">
            <w:pPr>
              <w:pStyle w:val="style0"/>
              <w:jc w:val="left"/>
              <w:rPr/>
            </w:pPr>
            <w:r>
              <w:rPr>
                <w:b/>
                <w:bCs/>
                <w:color w:val="ffffff"/>
              </w:rPr>
              <w:t>Phase</w:t>
            </w:r>
          </w:p>
        </w:tc>
        <w:tc>
          <w:tcPr>
            <w:tcW w:w="52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836C8EFF">
            <w:pPr>
              <w:pStyle w:val="style0"/>
              <w:jc w:val="left"/>
              <w:rPr/>
            </w:pPr>
            <w:r>
              <w:rPr>
                <w:b/>
                <w:bCs/>
                <w:color w:val="ffffff"/>
              </w:rPr>
              <w:t>Key Activities</w:t>
            </w:r>
          </w:p>
        </w:tc>
        <w:tc>
          <w:tcPr>
            <w:tcW w:w="18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A23675EF">
            <w:pPr>
              <w:pStyle w:val="style0"/>
              <w:jc w:val="left"/>
              <w:rPr/>
            </w:pPr>
            <w:r>
              <w:rPr>
                <w:b/>
                <w:bCs/>
                <w:color w:val="ffffff"/>
              </w:rPr>
              <w:t>Timeline</w:t>
            </w:r>
          </w:p>
        </w:tc>
        <w:tc>
          <w:tcPr>
            <w:tcW w:w="215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44FF5BA7">
            <w:pPr>
              <w:pStyle w:val="style0"/>
              <w:jc w:val="left"/>
              <w:rPr/>
            </w:pPr>
            <w:r>
              <w:rPr>
                <w:b/>
                <w:bCs/>
                <w:color w:val="ffffff"/>
              </w:rPr>
              <w:t>Responsible</w:t>
            </w:r>
          </w:p>
        </w:tc>
      </w:tr>
      <w:tr w14:paraId="CB03C1B3">
        <w:tblPrEx/>
        <w:trPr/>
        <w:tc>
          <w:tcPr>
            <w:tcW w:w="5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962B86F">
            <w:pPr>
              <w:pStyle w:val="style0"/>
              <w:jc w:val="left"/>
              <w:rPr/>
            </w:pPr>
            <w:r>
              <w:rPr>
                <w:b w:val="false"/>
                <w:bCs w:val="false"/>
              </w:rPr>
              <w:t>0</w:t>
            </w:r>
          </w:p>
        </w:tc>
        <w:tc>
          <w:tcPr>
            <w:tcW w:w="52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73A42B3D">
            <w:pPr>
              <w:pStyle w:val="style0"/>
              <w:jc w:val="left"/>
              <w:rPr/>
            </w:pPr>
            <w:r>
              <w:rPr>
                <w:b w:val="false"/>
                <w:bCs w:val="false"/>
              </w:rPr>
              <w:t>Stakeholder alignment: sign a short MoU/letter of understanding between the Trust and GLA University covering roles, fund flow, asset ownership, and reporting. Confirm final list of all 9 schools and appoint one focal teacher ('water champion') per school.</w:t>
            </w:r>
          </w:p>
        </w:tc>
        <w:tc>
          <w:tcPr>
            <w:tcW w:w="18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739C8CFF">
            <w:pPr>
              <w:pStyle w:val="style0"/>
              <w:jc w:val="left"/>
              <w:rPr/>
            </w:pPr>
            <w:r>
              <w:rPr>
                <w:b w:val="false"/>
                <w:bCs w:val="false"/>
              </w:rPr>
              <w:t>Month 1</w:t>
            </w:r>
          </w:p>
        </w:tc>
        <w:tc>
          <w:tcPr>
            <w:tcW w:w="21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FC6C6D00">
            <w:pPr>
              <w:pStyle w:val="style0"/>
              <w:jc w:val="left"/>
              <w:rPr/>
            </w:pPr>
            <w:r>
              <w:rPr>
                <w:b w:val="false"/>
                <w:bCs w:val="false"/>
              </w:rPr>
              <w:t>Trust + GLA University</w:t>
            </w:r>
          </w:p>
        </w:tc>
      </w:tr>
      <w:tr w14:paraId="7EB5220F">
        <w:tblPrEx/>
        <w:trPr/>
        <w:tc>
          <w:tcPr>
            <w:tcW w:w="5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A3721D17">
            <w:pPr>
              <w:pStyle w:val="style0"/>
              <w:jc w:val="left"/>
              <w:rPr/>
            </w:pPr>
            <w:r>
              <w:rPr>
                <w:b w:val="false"/>
                <w:bCs w:val="false"/>
              </w:rPr>
              <w:t>1</w:t>
            </w:r>
          </w:p>
        </w:tc>
        <w:tc>
          <w:tcPr>
            <w:tcW w:w="52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0D66703">
            <w:pPr>
              <w:pStyle w:val="style0"/>
              <w:jc w:val="left"/>
              <w:rPr/>
            </w:pPr>
            <w:r>
              <w:rPr>
                <w:b w:val="false"/>
                <w:bCs w:val="false"/>
              </w:rPr>
              <w:t>Site assessment at each of the 9 schools: source water testing (TDS, pH, hardness, fluoride, nitrate, bacteriological screen), student strength and peak demand, electrical supply, available space, and drainage for reject water.</w:t>
            </w:r>
          </w:p>
        </w:tc>
        <w:tc>
          <w:tcPr>
            <w:tcW w:w="18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5C3D212">
            <w:pPr>
              <w:pStyle w:val="style0"/>
              <w:jc w:val="left"/>
              <w:rPr/>
            </w:pPr>
            <w:r>
              <w:rPr>
                <w:b w:val="false"/>
                <w:bCs w:val="false"/>
              </w:rPr>
              <w:t>Month 1–2</w:t>
            </w:r>
          </w:p>
        </w:tc>
        <w:tc>
          <w:tcPr>
            <w:tcW w:w="21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6B4185A">
            <w:pPr>
              <w:pStyle w:val="style0"/>
              <w:jc w:val="left"/>
              <w:rPr/>
            </w:pPr>
            <w:r>
              <w:rPr>
                <w:b w:val="false"/>
                <w:bCs w:val="false"/>
              </w:rPr>
              <w:t>Field Coordinator (on hiring) / interim consultant</w:t>
            </w:r>
          </w:p>
        </w:tc>
      </w:tr>
      <w:tr w14:paraId="1AF28B2C">
        <w:tblPrEx/>
        <w:trPr/>
        <w:tc>
          <w:tcPr>
            <w:tcW w:w="5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904D57A">
            <w:pPr>
              <w:pStyle w:val="style0"/>
              <w:jc w:val="left"/>
              <w:rPr/>
            </w:pPr>
            <w:r>
              <w:rPr>
                <w:b w:val="false"/>
                <w:bCs w:val="false"/>
              </w:rPr>
              <w:t>2</w:t>
            </w:r>
          </w:p>
        </w:tc>
        <w:tc>
          <w:tcPr>
            <w:tcW w:w="52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905D9EB">
            <w:pPr>
              <w:pStyle w:val="style0"/>
              <w:jc w:val="left"/>
              <w:rPr/>
            </w:pPr>
            <w:r>
              <w:rPr>
                <w:b w:val="false"/>
                <w:bCs w:val="false"/>
              </w:rPr>
              <w:t>Technical design and vendor selection: fix RO capacity per school from assessment data; issue an RFQ to at least 3 vendors; evaluate on price, AMC terms, membrane brand and warranty, and local service presence in both Mathura/Vrindavan and Gurgaon districts; finalise a standard Bill of Quantities (BOQ).</w:t>
            </w:r>
          </w:p>
        </w:tc>
        <w:tc>
          <w:tcPr>
            <w:tcW w:w="18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1499424">
            <w:pPr>
              <w:pStyle w:val="style0"/>
              <w:jc w:val="left"/>
              <w:rPr/>
            </w:pPr>
            <w:r>
              <w:rPr>
                <w:b w:val="false"/>
                <w:bCs w:val="false"/>
              </w:rPr>
              <w:t>Month 2</w:t>
            </w:r>
          </w:p>
        </w:tc>
        <w:tc>
          <w:tcPr>
            <w:tcW w:w="21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D838011">
            <w:pPr>
              <w:pStyle w:val="style0"/>
              <w:jc w:val="left"/>
              <w:rPr/>
            </w:pPr>
            <w:r>
              <w:rPr>
                <w:b w:val="false"/>
                <w:bCs w:val="false"/>
              </w:rPr>
              <w:t>Trust (procurement committee)</w:t>
            </w:r>
          </w:p>
        </w:tc>
      </w:tr>
      <w:tr w14:paraId="A2CC5CC2">
        <w:tblPrEx/>
        <w:trPr/>
        <w:tc>
          <w:tcPr>
            <w:tcW w:w="5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7A147A00">
            <w:pPr>
              <w:pStyle w:val="style0"/>
              <w:jc w:val="left"/>
              <w:rPr/>
            </w:pPr>
            <w:r>
              <w:rPr>
                <w:b w:val="false"/>
                <w:bCs w:val="false"/>
              </w:rPr>
              <w:t>3</w:t>
            </w:r>
          </w:p>
        </w:tc>
        <w:tc>
          <w:tcPr>
            <w:tcW w:w="52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71D82AB">
            <w:pPr>
              <w:pStyle w:val="style0"/>
              <w:jc w:val="left"/>
              <w:rPr/>
            </w:pPr>
            <w:r>
              <w:rPr>
                <w:b w:val="false"/>
                <w:bCs w:val="false"/>
              </w:rPr>
              <w:t>Recruit and onboard the Field Coordinator (see Section 7); base the role near GLA University, Vrindavan given seven of nine schools are in that cluster.</w:t>
            </w:r>
          </w:p>
        </w:tc>
        <w:tc>
          <w:tcPr>
            <w:tcW w:w="18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6F7E78E">
            <w:pPr>
              <w:pStyle w:val="style0"/>
              <w:jc w:val="left"/>
              <w:rPr/>
            </w:pPr>
            <w:r>
              <w:rPr>
                <w:b w:val="false"/>
                <w:bCs w:val="false"/>
              </w:rPr>
              <w:t>Month 2–3</w:t>
            </w:r>
          </w:p>
        </w:tc>
        <w:tc>
          <w:tcPr>
            <w:tcW w:w="21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F517E4C">
            <w:pPr>
              <w:pStyle w:val="style0"/>
              <w:jc w:val="left"/>
              <w:rPr/>
            </w:pPr>
            <w:r>
              <w:rPr>
                <w:b w:val="false"/>
                <w:bCs w:val="false"/>
              </w:rPr>
              <w:t>Trust</w:t>
            </w:r>
          </w:p>
        </w:tc>
      </w:tr>
      <w:tr w14:paraId="D6C68D47">
        <w:tblPrEx/>
        <w:trPr/>
        <w:tc>
          <w:tcPr>
            <w:tcW w:w="5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6B67756">
            <w:pPr>
              <w:pStyle w:val="style0"/>
              <w:jc w:val="left"/>
              <w:rPr/>
            </w:pPr>
            <w:r>
              <w:rPr>
                <w:b w:val="false"/>
                <w:bCs w:val="false"/>
              </w:rPr>
              <w:t>4</w:t>
            </w:r>
          </w:p>
        </w:tc>
        <w:tc>
          <w:tcPr>
            <w:tcW w:w="52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C70C1DB">
            <w:pPr>
              <w:pStyle w:val="style0"/>
              <w:jc w:val="left"/>
              <w:rPr/>
            </w:pPr>
            <w:r>
              <w:rPr>
                <w:b w:val="false"/>
                <w:bCs w:val="false"/>
              </w:rPr>
              <w:t>Installation, batch-wise: civil work, plant and tank installation, electrical work, and commissioning — starting with the 6 Phase 1 schools (2 Gurgaon + 4 priority Vrindavan villages).</w:t>
            </w:r>
          </w:p>
        </w:tc>
        <w:tc>
          <w:tcPr>
            <w:tcW w:w="18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3625B847">
            <w:pPr>
              <w:pStyle w:val="style0"/>
              <w:jc w:val="left"/>
              <w:rPr/>
            </w:pPr>
            <w:r>
              <w:rPr>
                <w:b w:val="false"/>
                <w:bCs w:val="false"/>
              </w:rPr>
              <w:t>Month 3–6</w:t>
            </w:r>
          </w:p>
        </w:tc>
        <w:tc>
          <w:tcPr>
            <w:tcW w:w="21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C72B682">
            <w:pPr>
              <w:pStyle w:val="style0"/>
              <w:jc w:val="left"/>
              <w:rPr/>
            </w:pPr>
            <w:r>
              <w:rPr>
                <w:b w:val="false"/>
                <w:bCs w:val="false"/>
              </w:rPr>
              <w:t>Vendor, supervised by Coordinator</w:t>
            </w:r>
          </w:p>
        </w:tc>
      </w:tr>
      <w:tr w14:paraId="93053A46">
        <w:tblPrEx/>
        <w:trPr/>
        <w:tc>
          <w:tcPr>
            <w:tcW w:w="5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7E502B0D">
            <w:pPr>
              <w:pStyle w:val="style0"/>
              <w:jc w:val="left"/>
              <w:rPr/>
            </w:pPr>
            <w:r>
              <w:rPr>
                <w:b w:val="false"/>
                <w:bCs w:val="false"/>
              </w:rPr>
              <w:t>5</w:t>
            </w:r>
          </w:p>
        </w:tc>
        <w:tc>
          <w:tcPr>
            <w:tcW w:w="52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222377A">
            <w:pPr>
              <w:pStyle w:val="style0"/>
              <w:jc w:val="left"/>
              <w:rPr/>
            </w:pPr>
            <w:r>
              <w:rPr>
                <w:b w:val="false"/>
                <w:bCs w:val="false"/>
              </w:rPr>
              <w:t>Commissioning and training: obtain a water-quality test certificate for each plant before handover; train the school's water champion on daily checks; install basic signage on usage and care.</w:t>
            </w:r>
          </w:p>
        </w:tc>
        <w:tc>
          <w:tcPr>
            <w:tcW w:w="18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07EEB83C">
            <w:pPr>
              <w:pStyle w:val="style0"/>
              <w:jc w:val="left"/>
              <w:rPr/>
            </w:pPr>
            <w:r>
              <w:rPr>
                <w:b w:val="false"/>
                <w:bCs w:val="false"/>
              </w:rPr>
              <w:t>Immediately post-install, per school</w:t>
            </w:r>
          </w:p>
        </w:tc>
        <w:tc>
          <w:tcPr>
            <w:tcW w:w="21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76F0920">
            <w:pPr>
              <w:pStyle w:val="style0"/>
              <w:jc w:val="left"/>
              <w:rPr/>
            </w:pPr>
            <w:r>
              <w:rPr>
                <w:b w:val="false"/>
                <w:bCs w:val="false"/>
              </w:rPr>
              <w:t>Vendor + Coordinator</w:t>
            </w:r>
          </w:p>
        </w:tc>
      </w:tr>
      <w:tr w14:paraId="D139A0D4">
        <w:tblPrEx/>
        <w:trPr/>
        <w:tc>
          <w:tcPr>
            <w:tcW w:w="5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F5D80AD">
            <w:pPr>
              <w:pStyle w:val="style0"/>
              <w:jc w:val="left"/>
              <w:rPr/>
            </w:pPr>
            <w:r>
              <w:rPr>
                <w:b w:val="false"/>
                <w:bCs w:val="false"/>
              </w:rPr>
              <w:t>6</w:t>
            </w:r>
          </w:p>
        </w:tc>
        <w:tc>
          <w:tcPr>
            <w:tcW w:w="52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0DA17CE">
            <w:pPr>
              <w:pStyle w:val="style0"/>
              <w:jc w:val="left"/>
              <w:rPr/>
            </w:pPr>
            <w:r>
              <w:rPr>
                <w:b w:val="false"/>
                <w:bCs w:val="false"/>
              </w:rPr>
              <w:t>Steady-state operations and monitoring: AMC vendor visits, Coordinator's monthly site visits, logbook review, quarterly lab testing (see Sections 8–9).</w:t>
            </w:r>
          </w:p>
        </w:tc>
        <w:tc>
          <w:tcPr>
            <w:tcW w:w="18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3CE4B44">
            <w:pPr>
              <w:pStyle w:val="style0"/>
              <w:jc w:val="left"/>
              <w:rPr/>
            </w:pPr>
            <w:r>
              <w:rPr>
                <w:b w:val="false"/>
                <w:bCs w:val="false"/>
              </w:rPr>
              <w:t>Ongoing from Month 6</w:t>
            </w:r>
          </w:p>
        </w:tc>
        <w:tc>
          <w:tcPr>
            <w:tcW w:w="21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3BBEAA86">
            <w:pPr>
              <w:pStyle w:val="style0"/>
              <w:jc w:val="left"/>
              <w:rPr/>
            </w:pPr>
            <w:r>
              <w:rPr>
                <w:b w:val="false"/>
                <w:bCs w:val="false"/>
              </w:rPr>
              <w:t>Coordinator</w:t>
            </w:r>
          </w:p>
        </w:tc>
      </w:tr>
      <w:tr w14:paraId="789498D8">
        <w:tblPrEx/>
        <w:trPr/>
        <w:tc>
          <w:tcPr>
            <w:tcW w:w="5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613ABB8">
            <w:pPr>
              <w:pStyle w:val="style0"/>
              <w:jc w:val="left"/>
              <w:rPr/>
            </w:pPr>
            <w:r>
              <w:rPr>
                <w:b w:val="false"/>
                <w:bCs w:val="false"/>
              </w:rPr>
              <w:t>7</w:t>
            </w:r>
          </w:p>
        </w:tc>
        <w:tc>
          <w:tcPr>
            <w:tcW w:w="52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ECCAD41">
            <w:pPr>
              <w:pStyle w:val="style0"/>
              <w:jc w:val="left"/>
              <w:rPr/>
            </w:pPr>
            <w:r>
              <w:rPr>
                <w:b w:val="false"/>
                <w:bCs w:val="false"/>
              </w:rPr>
              <w:t>Year 1 review: assess uptime, water-quality compliance, and spend against budget; confirm Year 2 scale-up to the remaining 3 Vrindavan schools.</w:t>
            </w:r>
          </w:p>
        </w:tc>
        <w:tc>
          <w:tcPr>
            <w:tcW w:w="18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7699538D">
            <w:pPr>
              <w:pStyle w:val="style0"/>
              <w:jc w:val="left"/>
              <w:rPr/>
            </w:pPr>
            <w:r>
              <w:rPr>
                <w:b w:val="false"/>
                <w:bCs w:val="false"/>
              </w:rPr>
              <w:t>Month 12</w:t>
            </w:r>
          </w:p>
        </w:tc>
        <w:tc>
          <w:tcPr>
            <w:tcW w:w="215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9386C28">
            <w:pPr>
              <w:pStyle w:val="style0"/>
              <w:jc w:val="left"/>
              <w:rPr/>
            </w:pPr>
            <w:r>
              <w:rPr>
                <w:b w:val="false"/>
                <w:bCs w:val="false"/>
              </w:rPr>
              <w:t>Trust + GLA University</w:t>
            </w:r>
          </w:p>
        </w:tc>
      </w:tr>
      <w:tr w14:paraId="693026FA">
        <w:tblPrEx/>
        <w:trPr/>
        <w:tc>
          <w:tcPr>
            <w:tcW w:w="5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9ACD116">
            <w:pPr>
              <w:pStyle w:val="style0"/>
              <w:jc w:val="left"/>
              <w:rPr/>
            </w:pPr>
            <w:r>
              <w:rPr>
                <w:b w:val="false"/>
                <w:bCs w:val="false"/>
              </w:rPr>
              <w:t>8</w:t>
            </w:r>
          </w:p>
        </w:tc>
        <w:tc>
          <w:tcPr>
            <w:tcW w:w="52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6B3F817">
            <w:pPr>
              <w:pStyle w:val="style0"/>
              <w:jc w:val="left"/>
              <w:rPr/>
            </w:pPr>
            <w:r>
              <w:rPr>
                <w:b w:val="false"/>
                <w:bCs w:val="false"/>
              </w:rPr>
              <w:t>Year 2–3: scale-up of remaining schools, consolidation, and sustainability/handover planning.</w:t>
            </w:r>
          </w:p>
        </w:tc>
        <w:tc>
          <w:tcPr>
            <w:tcW w:w="18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52CA5D10">
            <w:pPr>
              <w:pStyle w:val="style0"/>
              <w:jc w:val="left"/>
              <w:rPr/>
            </w:pPr>
            <w:r>
              <w:rPr>
                <w:b w:val="false"/>
                <w:bCs w:val="false"/>
              </w:rPr>
              <w:t>Year 2–3</w:t>
            </w:r>
          </w:p>
        </w:tc>
        <w:tc>
          <w:tcPr>
            <w:tcW w:w="215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F805F5AD">
            <w:pPr>
              <w:pStyle w:val="style0"/>
              <w:jc w:val="left"/>
              <w:rPr/>
            </w:pPr>
            <w:r>
              <w:rPr>
                <w:b w:val="false"/>
                <w:bCs w:val="false"/>
              </w:rPr>
              <w:t>Trust + GLA University + Coordinator</w:t>
            </w:r>
          </w:p>
        </w:tc>
      </w:tr>
    </w:tbl>
    <w:p w14:paraId="99E5F8EB">
      <w:pPr>
        <w:pStyle w:val="style4106"/>
        <w:rPr/>
      </w:pPr>
      <w:r>
        <w:t>4. Technical Planning: RO Plant Specifications</w:t>
      </w:r>
    </w:p>
    <w:p w14:paraId="A582E961">
      <w:pPr>
        <w:pStyle w:val="style4107"/>
        <w:rPr/>
      </w:pPr>
      <w:r>
        <w:t>4.1 Recommended Configuration</w:t>
      </w:r>
    </w:p>
    <w:p w14:paraId="7C593A01">
      <w:pPr>
        <w:pStyle w:val="style0"/>
        <w:spacing w:after="160"/>
        <w:rPr/>
      </w:pPr>
      <w:r>
        <w:t>A 'good commercial' RO system for a rural school is not a domestic under-the-sink unit; it should be a skid-mounted, multi-stage commercial system sized to the school's actual enrolment and sourced from a vendor with a genuine local service network. The recommended standard configuration per school is:</w:t>
      </w:r>
    </w:p>
    <w:p w14:paraId="08E11010">
      <w:pPr>
        <w:pStyle w:val="style179"/>
        <w:numPr>
          <w:ilvl w:val="0"/>
          <w:numId w:val="1"/>
        </w:numPr>
        <w:spacing w:after="80"/>
        <w:rPr/>
      </w:pPr>
      <w:r>
        <w:t>Pre-filtration: sediment filter followed by an activated carbon filter, to remove turbidity, silt, and chlorine/organic taste-and-odour issues before the water reaches the membrane.</w:t>
      </w:r>
    </w:p>
    <w:p w14:paraId="C59255A5">
      <w:pPr>
        <w:pStyle w:val="style179"/>
        <w:numPr>
          <w:ilvl w:val="0"/>
          <w:numId w:val="1"/>
        </w:numPr>
        <w:spacing w:after="80"/>
        <w:rPr/>
      </w:pPr>
      <w:r>
        <w:t>RO membrane stage: thin-film composite (TFC) membrane(s) sized for 250 LPH (litres per hour) for schools under roughly 300 students, or 500 LPH for larger schools — to be finalised per school after the Phase 1 water and demand assessment.</w:t>
      </w:r>
    </w:p>
    <w:p w14:paraId="0A6C8F93">
      <w:pPr>
        <w:pStyle w:val="style179"/>
        <w:numPr>
          <w:ilvl w:val="0"/>
          <w:numId w:val="1"/>
        </w:numPr>
        <w:spacing w:after="80"/>
        <w:rPr/>
      </w:pPr>
      <w:r>
        <w:t>Post-treatment: UV sterilisation after the RO stage as an additional safeguard against microbial contamination, common in rural groundwater sources, plus a re-mineralisation/mineral cartridge stage, since pure RO permeate strips out beneficial minerals that matter for growing children.</w:t>
      </w:r>
    </w:p>
    <w:p w14:paraId="FC16665A">
      <w:pPr>
        <w:pStyle w:val="style179"/>
        <w:numPr>
          <w:ilvl w:val="0"/>
          <w:numId w:val="1"/>
        </w:numPr>
        <w:spacing w:after="80"/>
        <w:rPr/>
      </w:pPr>
      <w:r>
        <w:t>Storage: a food-grade storage tank (500–1,000 litres depending on school size) on a stand, plumbed to multiple dispensing points or a water cooler so queuing does not eat into class time.</w:t>
      </w:r>
    </w:p>
    <w:p w14:paraId="C0832C0E">
      <w:pPr>
        <w:pStyle w:val="style179"/>
        <w:numPr>
          <w:ilvl w:val="0"/>
          <w:numId w:val="1"/>
        </w:numPr>
        <w:spacing w:after="80"/>
        <w:rPr/>
      </w:pPr>
      <w:r>
        <w:t>Power: a voltage stabiliser is recommended given the variability of rural electricity supply; a small inverter/UPS back-up should be considered for schools with frequent outages.</w:t>
      </w:r>
    </w:p>
    <w:p w14:paraId="2F9C3B16">
      <w:pPr>
        <w:pStyle w:val="style4107"/>
        <w:rPr/>
      </w:pPr>
      <w:r>
        <w:t>4.2 Standards and Compliance</w:t>
      </w:r>
    </w:p>
    <w:p w14:paraId="8C0C3F16">
      <w:pPr>
        <w:pStyle w:val="style0"/>
        <w:spacing w:after="160"/>
        <w:rPr/>
      </w:pPr>
      <w:r>
        <w:t>Output water should meet the Bureau of Indian Standards specification for drinking water, IS 10500:2012, across physical, chemical, and bacteriological parameters. Each installed plant should be issued a water-quality test certificate from an accredited lab before being handed over for use, and re-tested quarterly thereafter (Section 9).</w:t>
      </w:r>
    </w:p>
    <w:p w14:paraId="745BD86E">
      <w:pPr>
        <w:pStyle w:val="style4107"/>
        <w:rPr/>
      </w:pPr>
      <w:r>
        <w:t>4.3 Reject (Waste) Water Management</w:t>
      </w:r>
    </w:p>
    <w:p w14:paraId="03ED5EE6">
      <w:pPr>
        <w:pStyle w:val="style0"/>
        <w:spacing w:after="160"/>
        <w:rPr/>
      </w:pPr>
      <w:r>
        <w:t>RO systems typically reject 30–50% of input water as concentrate. This should be planned for at the civil-works stage — routed to a soak pit, school kitchen garden, or toilet-flushing line rather than allowed to pool or run to waste. This is both an environmental responsibility and a point likely to be raised by anyone scrutinising the project's water-use efficiency.</w:t>
      </w:r>
    </w:p>
    <w:p w14:paraId="61A2D56B">
      <w:pPr>
        <w:pStyle w:val="style4106"/>
        <w:rPr/>
      </w:pPr>
      <w:r>
        <w:t>5. Capital Expenditure (CapEx)</w:t>
      </w:r>
    </w:p>
    <w:p w14:paraId="A108C98F">
      <w:pPr>
        <w:pStyle w:val="style0"/>
        <w:spacing w:after="160"/>
        <w:rPr/>
      </w:pPr>
      <w:r>
        <w:t>Two CapEx tiers are presented below so the Trust can match spend to each school's actual size and need, identified during the Phase 1 site assessment. All figures are indicative 2026 Indian market planning estimates and should be confirmed through a minimum of three vendor quotations before any purchase order is issued.</w:t>
      </w:r>
    </w:p>
    <w:p w14:paraId="4FF3F43F">
      <w:pPr>
        <w:pStyle w:val="style4107"/>
        <w:rPr/>
      </w:pPr>
      <w:r>
        <w:t>5.1 Economy Model — Lowest CapEx (₹20,000–₹40,000 per RO unit)</w:t>
      </w:r>
    </w:p>
    <w:p w14:paraId="4AD4C89F">
      <w:pPr>
        <w:pStyle w:val="style0"/>
        <w:spacing w:after="160"/>
        <w:rPr/>
      </w:pPr>
      <w:r>
        <w:t>This tier uses a basic commercial RO unit priced at ₹20,000–₹40,000 (midpoint ₹30,000 used below), suited to smaller schools — broadly under 150 students — with modest peak demand.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446"/>
        <w:gridCol w:w="3300"/>
      </w:tblGrid>
      <w:tr w14:paraId="3D32EA84">
        <w:trPr>
          <w:tblHeader/>
        </w:trPr>
        <w:tc>
          <w:tcPr>
            <w:tcW w:w="64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104FA30C">
            <w:pPr>
              <w:pStyle w:val="style0"/>
              <w:jc w:val="left"/>
              <w:rPr/>
            </w:pPr>
            <w:r>
              <w:rPr>
                <w:b/>
                <w:bCs/>
                <w:color w:val="ffffff"/>
              </w:rPr>
              <w:t>Cost Component (per school) — Economy</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CFD8E6C1">
            <w:pPr>
              <w:pStyle w:val="style0"/>
              <w:jc w:val="left"/>
              <w:rPr/>
            </w:pPr>
            <w:r>
              <w:rPr>
                <w:b/>
                <w:bCs/>
                <w:color w:val="ffffff"/>
              </w:rPr>
              <w:t>Estimated Cost (₹)</w:t>
            </w:r>
          </w:p>
        </w:tc>
      </w:tr>
      <w:tr w14:paraId="BBEAA73F">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FCCBA19">
            <w:pPr>
              <w:pStyle w:val="style0"/>
              <w:jc w:val="left"/>
              <w:rPr/>
            </w:pPr>
            <w:r>
              <w:rPr>
                <w:b w:val="false"/>
                <w:bCs w:val="false"/>
              </w:rPr>
              <w:t>RO plant unit (50–100 LPH, basic 2–3 stage, no UV/mineraliser)</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9FF01371">
            <w:pPr>
              <w:pStyle w:val="style0"/>
              <w:jc w:val="left"/>
              <w:rPr/>
            </w:pPr>
            <w:r>
              <w:rPr>
                <w:b w:val="false"/>
                <w:bCs w:val="false"/>
              </w:rPr>
              <w:t>30,000</w:t>
            </w:r>
          </w:p>
        </w:tc>
      </w:tr>
      <w:tr w14:paraId="5FB6A91F">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A1E46E9">
            <w:pPr>
              <w:pStyle w:val="style0"/>
              <w:jc w:val="left"/>
              <w:rPr/>
            </w:pPr>
            <w:r>
              <w:rPr>
                <w:b w:val="false"/>
                <w:bCs w:val="false"/>
              </w:rPr>
              <w:t>Storage tank (200–500 L) basic plastic tank with stand</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B0BCAA9D">
            <w:pPr>
              <w:pStyle w:val="style0"/>
              <w:jc w:val="left"/>
              <w:rPr/>
            </w:pPr>
            <w:r>
              <w:rPr>
                <w:b w:val="false"/>
                <w:bCs w:val="false"/>
              </w:rPr>
              <w:t>8,000</w:t>
            </w:r>
          </w:p>
        </w:tc>
      </w:tr>
      <w:tr w14:paraId="0731E4E2">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54A10C9">
            <w:pPr>
              <w:pStyle w:val="style0"/>
              <w:jc w:val="left"/>
              <w:rPr/>
            </w:pPr>
            <w:r>
              <w:rPr>
                <w:b w:val="false"/>
                <w:bCs w:val="false"/>
              </w:rPr>
              <w:t>Civil work (minimal platform/shelter, no dedicated room)</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32C5552">
            <w:pPr>
              <w:pStyle w:val="style0"/>
              <w:jc w:val="left"/>
              <w:rPr/>
            </w:pPr>
            <w:r>
              <w:rPr>
                <w:b w:val="false"/>
                <w:bCs w:val="false"/>
              </w:rPr>
              <w:t>8,000</w:t>
            </w:r>
          </w:p>
        </w:tc>
      </w:tr>
      <w:tr w14:paraId="1E68088F">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017426B">
            <w:pPr>
              <w:pStyle w:val="style0"/>
              <w:jc w:val="left"/>
              <w:rPr/>
            </w:pPr>
            <w:r>
              <w:rPr>
                <w:b w:val="false"/>
                <w:bCs w:val="false"/>
              </w:rPr>
              <w:t>Basic electrical wiring (stabiliser recommended as add-on)</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8323E2D">
            <w:pPr>
              <w:pStyle w:val="style0"/>
              <w:jc w:val="left"/>
              <w:rPr/>
            </w:pPr>
            <w:r>
              <w:rPr>
                <w:b w:val="false"/>
                <w:bCs w:val="false"/>
              </w:rPr>
              <w:t>4,000</w:t>
            </w:r>
          </w:p>
        </w:tc>
      </w:tr>
      <w:tr w14:paraId="148ECDAE">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9A02F9D">
            <w:pPr>
              <w:pStyle w:val="style0"/>
              <w:jc w:val="left"/>
              <w:rPr/>
            </w:pPr>
            <w:r>
              <w:rPr>
                <w:b w:val="false"/>
                <w:bCs w:val="false"/>
              </w:rPr>
              <w:t>Installation and commissioning</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261DBB58">
            <w:pPr>
              <w:pStyle w:val="style0"/>
              <w:jc w:val="left"/>
              <w:rPr/>
            </w:pPr>
            <w:r>
              <w:rPr>
                <w:b w:val="false"/>
                <w:bCs w:val="false"/>
              </w:rPr>
              <w:t>6,000</w:t>
            </w:r>
          </w:p>
        </w:tc>
      </w:tr>
      <w:tr w14:paraId="131A1A1C">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B94C056B">
            <w:pPr>
              <w:pStyle w:val="style0"/>
              <w:jc w:val="left"/>
              <w:rPr/>
            </w:pPr>
            <w:r>
              <w:rPr>
                <w:b w:val="false"/>
                <w:bCs w:val="false"/>
              </w:rPr>
              <w:t>Initial water testing and basic signage</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BAFE1CA8">
            <w:pPr>
              <w:pStyle w:val="style0"/>
              <w:jc w:val="left"/>
              <w:rPr/>
            </w:pPr>
            <w:r>
              <w:rPr>
                <w:b w:val="false"/>
                <w:bCs w:val="false"/>
              </w:rPr>
              <w:t>3,000</w:t>
            </w:r>
          </w:p>
        </w:tc>
      </w:tr>
    </w:tbl>
    <w:p w14:paraId="FAEEFED5">
      <w:pPr>
        <w:pStyle w:val="style0"/>
        <w:spacing w:before="160" w:after="80"/>
        <w:rPr/>
      </w:pPr>
      <w:r>
        <w:rPr>
          <w:b/>
          <w:bCs/>
        </w:rPr>
        <w:t xml:space="preserve">Estimated total CapEx per school (Economy): </w:t>
      </w:r>
      <w:r>
        <w:rPr>
          <w:b/>
          <w:bCs/>
        </w:rPr>
        <w:t>₹59,000</w:t>
      </w:r>
    </w:p>
    <w:p w14:paraId="F9A6CF55">
      <w:pPr>
        <w:pStyle w:val="style0"/>
        <w:spacing w:after="160"/>
        <w:rPr/>
      </w:pPr>
      <w:r>
        <w:rPr>
          <w:b/>
          <w:bCs/>
        </w:rPr>
        <w:t xml:space="preserve">Total CapEx if all 9 schools used the Economy model: </w:t>
      </w:r>
      <w:r>
        <w:rPr>
          <w:b/>
          <w:bCs/>
        </w:rPr>
        <w:t>₹5,31,000</w:t>
      </w:r>
    </w:p>
    <w:p w14:paraId="358B9E61">
      <w:pPr>
        <w:pStyle w:val="style0"/>
        <w:spacing w:after="160"/>
        <w:rPr/>
      </w:pPr>
      <w:r>
        <w:t>Trade-offs to weigh against the lower price:</w:t>
      </w:r>
    </w:p>
    <w:p w14:paraId="2ED78CC3">
      <w:pPr>
        <w:pStyle w:val="style179"/>
        <w:numPr>
          <w:ilvl w:val="0"/>
          <w:numId w:val="1"/>
        </w:numPr>
        <w:spacing w:after="80"/>
        <w:rPr/>
      </w:pPr>
      <w:r>
        <w:t>Lower throughput (50–100 LPH) will create queues if used at a school materially larger than ~150 students — capacity should be checked against actual enrolment, not assumed.</w:t>
      </w:r>
    </w:p>
    <w:p w14:paraId="815CBC0E">
      <w:pPr>
        <w:pStyle w:val="style179"/>
        <w:numPr>
          <w:ilvl w:val="0"/>
          <w:numId w:val="1"/>
        </w:numPr>
        <w:spacing w:after="80"/>
        <w:rPr/>
      </w:pPr>
      <w:r>
        <w:t>No UV stage means the RO membrane alone is responsible for microbial rejection; quarterly bacteriological testing (Section 9) becomes more important, not less, with this model.</w:t>
      </w:r>
    </w:p>
    <w:p w14:paraId="AA476263">
      <w:pPr>
        <w:pStyle w:val="style179"/>
        <w:numPr>
          <w:ilvl w:val="0"/>
          <w:numId w:val="1"/>
        </w:numPr>
        <w:spacing w:after="80"/>
        <w:rPr/>
      </w:pPr>
      <w:r>
        <w:t>No re-mineralisation stage — output is plain RO-purified water without added minerals. This is standard practice and not a safety issue, but is a minor quality difference worth noting to the Trust and GLA University.</w:t>
      </w:r>
    </w:p>
    <w:p w14:paraId="C50959F9">
      <w:pPr>
        <w:pStyle w:val="style179"/>
        <w:numPr>
          <w:ilvl w:val="0"/>
          <w:numId w:val="1"/>
        </w:numPr>
        <w:spacing w:after="80"/>
        <w:rPr/>
      </w:pPr>
      <w:r>
        <w:t>Lighter-duty plastic/FRP components typically have a shorter service life and need more frequent filter/membrane replacement, so the gap in total cost of ownership narrows over 3 years even though the upfront CapEx is much lower.</w:t>
      </w:r>
    </w:p>
    <w:p w14:paraId="7CF8D685">
      <w:pPr>
        <w:pStyle w:val="style179"/>
        <w:numPr>
          <w:ilvl w:val="0"/>
          <w:numId w:val="1"/>
        </w:numPr>
        <w:spacing w:after="80"/>
        <w:rPr/>
      </w:pPr>
      <w:r>
        <w:t>Strongly recommend still adding a basic voltage stabiliser (~₹2,000–3,000) even in this tier, given rural power fluctuation — omitting it is a false economy.</w:t>
      </w:r>
    </w:p>
    <w:p w14:paraId="7E5CE2EE">
      <w:pPr>
        <w:pStyle w:val="style4107"/>
        <w:rPr/>
      </w:pPr>
      <w:r>
        <w:t>5.2 Standard Model — Recommended for Larger Schools</w:t>
      </w:r>
    </w:p>
    <w:p w14:paraId="13875809">
      <w:pPr>
        <w:pStyle w:val="style0"/>
        <w:spacing w:after="160"/>
        <w:rPr/>
      </w:pPr>
      <w:r>
        <w:t>This tier is the configuration detailed in Section 4, suited to schools above ~150 students or with higher peak demand.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446"/>
        <w:gridCol w:w="3300"/>
      </w:tblGrid>
      <w:tr w14:paraId="DA72EFE5">
        <w:trPr>
          <w:tblHeader/>
        </w:trPr>
        <w:tc>
          <w:tcPr>
            <w:tcW w:w="64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52062DE8">
            <w:pPr>
              <w:pStyle w:val="style0"/>
              <w:jc w:val="left"/>
              <w:rPr/>
            </w:pPr>
            <w:r>
              <w:rPr>
                <w:b/>
                <w:bCs/>
                <w:color w:val="ffffff"/>
              </w:rPr>
              <w:t>Cost Component (per school) — Standard</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CA9CB4FC">
            <w:pPr>
              <w:pStyle w:val="style0"/>
              <w:jc w:val="left"/>
              <w:rPr/>
            </w:pPr>
            <w:r>
              <w:rPr>
                <w:b/>
                <w:bCs/>
                <w:color w:val="ffffff"/>
              </w:rPr>
              <w:t>Estimated Cost (₹)</w:t>
            </w:r>
          </w:p>
        </w:tc>
      </w:tr>
      <w:tr w14:paraId="4095B9F9">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A2C0F09">
            <w:pPr>
              <w:pStyle w:val="style0"/>
              <w:jc w:val="left"/>
              <w:rPr/>
            </w:pPr>
            <w:r>
              <w:rPr>
                <w:b w:val="false"/>
                <w:bCs w:val="false"/>
              </w:rPr>
              <w:t>RO plant unit (250–500 LPH, multi-stage + UV + mineral cartridge)</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8049638">
            <w:pPr>
              <w:pStyle w:val="style0"/>
              <w:jc w:val="left"/>
              <w:rPr/>
            </w:pPr>
            <w:r>
              <w:rPr>
                <w:b w:val="false"/>
                <w:bCs w:val="false"/>
              </w:rPr>
              <w:t>65,000</w:t>
            </w:r>
          </w:p>
        </w:tc>
      </w:tr>
      <w:tr w14:paraId="C44D2928">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82EBDAC">
            <w:pPr>
              <w:pStyle w:val="style0"/>
              <w:jc w:val="left"/>
              <w:rPr/>
            </w:pPr>
            <w:r>
              <w:rPr>
                <w:b w:val="false"/>
                <w:bCs w:val="false"/>
              </w:rPr>
              <w:t>Storage tank (500–1,000 L) with stand and plumbing to dispensing points</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A0ED6747">
            <w:pPr>
              <w:pStyle w:val="style0"/>
              <w:jc w:val="left"/>
              <w:rPr/>
            </w:pPr>
            <w:r>
              <w:rPr>
                <w:b w:val="false"/>
                <w:bCs w:val="false"/>
              </w:rPr>
              <w:t>18,000</w:t>
            </w:r>
          </w:p>
        </w:tc>
      </w:tr>
      <w:tr w14:paraId="248A0120">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EF877E9">
            <w:pPr>
              <w:pStyle w:val="style0"/>
              <w:jc w:val="left"/>
              <w:rPr/>
            </w:pPr>
            <w:r>
              <w:rPr>
                <w:b w:val="false"/>
                <w:bCs w:val="false"/>
              </w:rPr>
              <w:t>Civil work (RO room/platform, drainage for reject water)</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7376EF0">
            <w:pPr>
              <w:pStyle w:val="style0"/>
              <w:jc w:val="left"/>
              <w:rPr/>
            </w:pPr>
            <w:r>
              <w:rPr>
                <w:b w:val="false"/>
                <w:bCs w:val="false"/>
              </w:rPr>
              <w:t>20,000</w:t>
            </w:r>
          </w:p>
        </w:tc>
      </w:tr>
      <w:tr w14:paraId="2B77C441">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2D68F43">
            <w:pPr>
              <w:pStyle w:val="style0"/>
              <w:jc w:val="left"/>
              <w:rPr/>
            </w:pPr>
            <w:r>
              <w:rPr>
                <w:b w:val="false"/>
                <w:bCs w:val="false"/>
              </w:rPr>
              <w:t>Electrical work and voltage stabiliser</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C77CD09A">
            <w:pPr>
              <w:pStyle w:val="style0"/>
              <w:jc w:val="left"/>
              <w:rPr/>
            </w:pPr>
            <w:r>
              <w:rPr>
                <w:b w:val="false"/>
                <w:bCs w:val="false"/>
              </w:rPr>
              <w:t>10,000</w:t>
            </w:r>
          </w:p>
        </w:tc>
      </w:tr>
      <w:tr w14:paraId="2E9C7005">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3AF2138">
            <w:pPr>
              <w:pStyle w:val="style0"/>
              <w:jc w:val="left"/>
              <w:rPr/>
            </w:pPr>
            <w:r>
              <w:rPr>
                <w:b w:val="false"/>
                <w:bCs w:val="false"/>
              </w:rPr>
              <w:t>Installation and commissioning</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77C4F75">
            <w:pPr>
              <w:pStyle w:val="style0"/>
              <w:jc w:val="left"/>
              <w:rPr/>
            </w:pPr>
            <w:r>
              <w:rPr>
                <w:b w:val="false"/>
                <w:bCs w:val="false"/>
              </w:rPr>
              <w:t>12,000</w:t>
            </w:r>
          </w:p>
        </w:tc>
      </w:tr>
      <w:tr w14:paraId="18546A31">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13140084">
            <w:pPr>
              <w:pStyle w:val="style0"/>
              <w:jc w:val="left"/>
              <w:rPr/>
            </w:pPr>
            <w:r>
              <w:rPr>
                <w:b w:val="false"/>
                <w:bCs w:val="false"/>
              </w:rPr>
              <w:t>Initial water testing and basic signage</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D8F5F7DB">
            <w:pPr>
              <w:pStyle w:val="style0"/>
              <w:jc w:val="left"/>
              <w:rPr/>
            </w:pPr>
            <w:r>
              <w:rPr>
                <w:b w:val="false"/>
                <w:bCs w:val="false"/>
              </w:rPr>
              <w:t>5,000</w:t>
            </w:r>
          </w:p>
        </w:tc>
      </w:tr>
    </w:tbl>
    <w:p w14:paraId="2A71B5E8">
      <w:pPr>
        <w:pStyle w:val="style0"/>
        <w:spacing w:before="160" w:after="80"/>
        <w:rPr/>
      </w:pPr>
      <w:r>
        <w:rPr>
          <w:b/>
          <w:bCs/>
        </w:rPr>
        <w:t xml:space="preserve">Estimated total CapEx per school (Standard): </w:t>
      </w:r>
      <w:r>
        <w:rPr>
          <w:b/>
          <w:bCs/>
        </w:rPr>
        <w:t>₹1,30,000</w:t>
      </w:r>
    </w:p>
    <w:p w14:paraId="2FD8C5CA">
      <w:pPr>
        <w:pStyle w:val="style0"/>
        <w:spacing w:after="160"/>
        <w:rPr/>
      </w:pPr>
      <w:r>
        <w:rPr>
          <w:b/>
          <w:bCs/>
        </w:rPr>
        <w:t xml:space="preserve">Total CapEx if all 9 schools used the Standard model: </w:t>
      </w:r>
      <w:r>
        <w:rPr>
          <w:b/>
          <w:bCs/>
        </w:rPr>
        <w:t>₹11,70,000</w:t>
      </w:r>
    </w:p>
    <w:p w14:paraId="A82869C2">
      <w:pPr>
        <w:pStyle w:val="style4107"/>
        <w:rPr/>
      </w:pPr>
      <w:r>
        <w:t>5.3 Comparison and Recommendation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142"/>
        <w:gridCol w:w="3301"/>
        <w:gridCol w:w="3301"/>
      </w:tblGrid>
      <w:tr w14:paraId="6A8074D4">
        <w:trPr>
          <w:tblHeader/>
        </w:trPr>
        <w:tc>
          <w:tcPr>
            <w:tcW w:w="30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17D9C795">
            <w:pPr>
              <w:pStyle w:val="style0"/>
              <w:jc w:val="left"/>
              <w:rPr/>
            </w:pPr>
            <w:r>
              <w:rPr>
                <w:b/>
                <w:bCs/>
                <w:color w:val="ffffff"/>
              </w:rPr>
              <w:t>Aspect</w:t>
            </w:r>
          </w:p>
        </w:tc>
        <w:tc>
          <w:tcPr>
            <w:tcW w:w="32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570FCC38">
            <w:pPr>
              <w:pStyle w:val="style0"/>
              <w:jc w:val="left"/>
              <w:rPr/>
            </w:pPr>
            <w:r>
              <w:rPr>
                <w:b/>
                <w:bCs/>
                <w:color w:val="ffffff"/>
              </w:rPr>
              <w:t>Economy Model</w:t>
            </w:r>
          </w:p>
        </w:tc>
        <w:tc>
          <w:tcPr>
            <w:tcW w:w="32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FC3C4C4E">
            <w:pPr>
              <w:pStyle w:val="style0"/>
              <w:jc w:val="left"/>
              <w:rPr/>
            </w:pPr>
            <w:r>
              <w:rPr>
                <w:b/>
                <w:bCs/>
                <w:color w:val="ffffff"/>
              </w:rPr>
              <w:t>Standard Model</w:t>
            </w:r>
          </w:p>
        </w:tc>
      </w:tr>
      <w:tr w14:paraId="FA910166">
        <w:tblPrEx/>
        <w:trPr/>
        <w:tc>
          <w:tcPr>
            <w:tcW w:w="3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2EC4A70">
            <w:pPr>
              <w:pStyle w:val="style0"/>
              <w:jc w:val="left"/>
              <w:rPr/>
            </w:pPr>
            <w:r>
              <w:rPr>
                <w:b w:val="false"/>
                <w:bCs w:val="false"/>
              </w:rPr>
              <w:t>CapEx per school</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AF5803B">
            <w:pPr>
              <w:pStyle w:val="style0"/>
              <w:jc w:val="left"/>
              <w:rPr/>
            </w:pPr>
            <w:r>
              <w:rPr>
                <w:b w:val="false"/>
                <w:bCs w:val="false"/>
              </w:rPr>
              <w:t>₹55,000 – ₹65,000</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7274D29E">
            <w:pPr>
              <w:pStyle w:val="style0"/>
              <w:jc w:val="left"/>
              <w:rPr/>
            </w:pPr>
            <w:r>
              <w:rPr>
                <w:b w:val="false"/>
                <w:bCs w:val="false"/>
              </w:rPr>
              <w:t>₹1,20,000 – ₹1,40,000</w:t>
            </w:r>
          </w:p>
        </w:tc>
      </w:tr>
      <w:tr w14:paraId="09E8E19B">
        <w:tblPrEx/>
        <w:trPr/>
        <w:tc>
          <w:tcPr>
            <w:tcW w:w="3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DDE893C0">
            <w:pPr>
              <w:pStyle w:val="style0"/>
              <w:jc w:val="left"/>
              <w:rPr/>
            </w:pPr>
            <w:r>
              <w:rPr>
                <w:b w:val="false"/>
                <w:bCs w:val="false"/>
              </w:rPr>
              <w:t>RO unit cost alone</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CE9ED0EA">
            <w:pPr>
              <w:pStyle w:val="style0"/>
              <w:jc w:val="left"/>
              <w:rPr/>
            </w:pPr>
            <w:r>
              <w:rPr>
                <w:b w:val="false"/>
                <w:bCs w:val="false"/>
              </w:rPr>
              <w:t>₹20,000 – ₹40,000</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0D660745">
            <w:pPr>
              <w:pStyle w:val="style0"/>
              <w:jc w:val="left"/>
              <w:rPr/>
            </w:pPr>
            <w:r>
              <w:rPr>
                <w:b w:val="false"/>
                <w:bCs w:val="false"/>
              </w:rPr>
              <w:t>₹55,000 – ₹75,000</w:t>
            </w:r>
          </w:p>
        </w:tc>
      </w:tr>
      <w:tr w14:paraId="FE59BF4C">
        <w:tblPrEx/>
        <w:trPr/>
        <w:tc>
          <w:tcPr>
            <w:tcW w:w="3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F7FFB67F">
            <w:pPr>
              <w:pStyle w:val="style0"/>
              <w:jc w:val="left"/>
              <w:rPr/>
            </w:pPr>
            <w:r>
              <w:rPr>
                <w:b w:val="false"/>
                <w:bCs w:val="false"/>
              </w:rPr>
              <w:t>Output capacity</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31E8399E">
            <w:pPr>
              <w:pStyle w:val="style0"/>
              <w:jc w:val="left"/>
              <w:rPr/>
            </w:pPr>
            <w:r>
              <w:rPr>
                <w:b w:val="false"/>
                <w:bCs w:val="false"/>
              </w:rPr>
              <w:t>50–100 LPH</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EC5F0D8">
            <w:pPr>
              <w:pStyle w:val="style0"/>
              <w:jc w:val="left"/>
              <w:rPr/>
            </w:pPr>
            <w:r>
              <w:rPr>
                <w:b w:val="false"/>
                <w:bCs w:val="false"/>
              </w:rPr>
              <w:t>250–500 LPH</w:t>
            </w:r>
          </w:p>
        </w:tc>
      </w:tr>
      <w:tr w14:paraId="5F0152FB">
        <w:tblPrEx/>
        <w:trPr/>
        <w:tc>
          <w:tcPr>
            <w:tcW w:w="3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F723070">
            <w:pPr>
              <w:pStyle w:val="style0"/>
              <w:jc w:val="left"/>
              <w:rPr/>
            </w:pPr>
            <w:r>
              <w:rPr>
                <w:b w:val="false"/>
                <w:bCs w:val="false"/>
              </w:rPr>
              <w:t>Best suited for</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5004886">
            <w:pPr>
              <w:pStyle w:val="style0"/>
              <w:jc w:val="left"/>
              <w:rPr/>
            </w:pPr>
            <w:r>
              <w:rPr>
                <w:b w:val="false"/>
                <w:bCs w:val="false"/>
              </w:rPr>
              <w:t>Schools under ~150 students</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6E95946">
            <w:pPr>
              <w:pStyle w:val="style0"/>
              <w:jc w:val="left"/>
              <w:rPr/>
            </w:pPr>
            <w:r>
              <w:rPr>
                <w:b w:val="false"/>
                <w:bCs w:val="false"/>
              </w:rPr>
              <w:t>Schools 150–500+ students</w:t>
            </w:r>
          </w:p>
        </w:tc>
      </w:tr>
      <w:tr w14:paraId="65346909">
        <w:tblPrEx/>
        <w:trPr/>
        <w:tc>
          <w:tcPr>
            <w:tcW w:w="3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EF41265">
            <w:pPr>
              <w:pStyle w:val="style0"/>
              <w:jc w:val="left"/>
              <w:rPr/>
            </w:pPr>
            <w:r>
              <w:rPr>
                <w:b w:val="false"/>
                <w:bCs w:val="false"/>
              </w:rPr>
              <w:t>UV stage</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82645E6">
            <w:pPr>
              <w:pStyle w:val="style0"/>
              <w:jc w:val="left"/>
              <w:rPr/>
            </w:pPr>
            <w:r>
              <w:rPr>
                <w:b w:val="false"/>
                <w:bCs w:val="false"/>
              </w:rPr>
              <w:t>No</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F59EEFD">
            <w:pPr>
              <w:pStyle w:val="style0"/>
              <w:jc w:val="left"/>
              <w:rPr/>
            </w:pPr>
            <w:r>
              <w:rPr>
                <w:b w:val="false"/>
                <w:bCs w:val="false"/>
              </w:rPr>
              <w:t>Yes</w:t>
            </w:r>
          </w:p>
        </w:tc>
      </w:tr>
      <w:tr w14:paraId="72C53B75">
        <w:tblPrEx/>
        <w:trPr/>
        <w:tc>
          <w:tcPr>
            <w:tcW w:w="3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D680D2EA">
            <w:pPr>
              <w:pStyle w:val="style0"/>
              <w:jc w:val="left"/>
              <w:rPr/>
            </w:pPr>
            <w:r>
              <w:rPr>
                <w:b w:val="false"/>
                <w:bCs w:val="false"/>
              </w:rPr>
              <w:t>Re-mineralisation</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5AF840F">
            <w:pPr>
              <w:pStyle w:val="style0"/>
              <w:jc w:val="left"/>
              <w:rPr/>
            </w:pPr>
            <w:r>
              <w:rPr>
                <w:b w:val="false"/>
                <w:bCs w:val="false"/>
              </w:rPr>
              <w:t>No</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BB6A848">
            <w:pPr>
              <w:pStyle w:val="style0"/>
              <w:jc w:val="left"/>
              <w:rPr/>
            </w:pPr>
            <w:r>
              <w:rPr>
                <w:b w:val="false"/>
                <w:bCs w:val="false"/>
              </w:rPr>
              <w:t>Yes</w:t>
            </w:r>
          </w:p>
        </w:tc>
      </w:tr>
      <w:tr w14:paraId="565A2A27">
        <w:tblPrEx/>
        <w:trPr/>
        <w:tc>
          <w:tcPr>
            <w:tcW w:w="3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2281B9F">
            <w:pPr>
              <w:pStyle w:val="style0"/>
              <w:jc w:val="left"/>
              <w:rPr/>
            </w:pPr>
            <w:r>
              <w:rPr>
                <w:b w:val="false"/>
                <w:bCs w:val="false"/>
              </w:rPr>
              <w:t>Component life / O&amp;M frequency</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737886C">
            <w:pPr>
              <w:pStyle w:val="style0"/>
              <w:jc w:val="left"/>
              <w:rPr/>
            </w:pPr>
            <w:r>
              <w:rPr>
                <w:b w:val="false"/>
                <w:bCs w:val="false"/>
              </w:rPr>
              <w:t>Shorter life, more frequent replacement</w:t>
            </w:r>
          </w:p>
        </w:tc>
        <w:tc>
          <w:tcPr>
            <w:tcW w:w="3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6EEEBF2C">
            <w:pPr>
              <w:pStyle w:val="style0"/>
              <w:jc w:val="left"/>
              <w:rPr/>
            </w:pPr>
            <w:r>
              <w:rPr>
                <w:b w:val="false"/>
                <w:bCs w:val="false"/>
              </w:rPr>
              <w:t>Longer life, lower relative O&amp;M</w:t>
            </w:r>
          </w:p>
        </w:tc>
      </w:tr>
      <w:tr w14:paraId="28286EAB">
        <w:tblPrEx/>
        <w:trPr/>
        <w:tc>
          <w:tcPr>
            <w:tcW w:w="3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F232E19">
            <w:pPr>
              <w:pStyle w:val="style0"/>
              <w:jc w:val="left"/>
              <w:rPr/>
            </w:pPr>
            <w:r>
              <w:rPr>
                <w:b w:val="false"/>
                <w:bCs w:val="false"/>
              </w:rPr>
              <w:t>Total CapEx, all 9 schools</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346C221">
            <w:pPr>
              <w:pStyle w:val="style0"/>
              <w:jc w:val="left"/>
              <w:rPr/>
            </w:pPr>
            <w:r>
              <w:rPr>
                <w:b w:val="false"/>
                <w:bCs w:val="false"/>
              </w:rPr>
              <w:t>≈ ₹5,31,000</w:t>
            </w:r>
          </w:p>
        </w:tc>
        <w:tc>
          <w:tcPr>
            <w:tcW w:w="3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35524FD">
            <w:pPr>
              <w:pStyle w:val="style0"/>
              <w:jc w:val="left"/>
              <w:rPr/>
            </w:pPr>
            <w:r>
              <w:rPr>
                <w:b w:val="false"/>
                <w:bCs w:val="false"/>
              </w:rPr>
              <w:t>≈ ₹11,70,000</w:t>
            </w:r>
          </w:p>
        </w:tc>
      </w:tr>
    </w:tbl>
    <w:p w14:paraId="A3B00DD6">
      <w:pPr>
        <w:pStyle w:val="style0"/>
        <w:spacing w:after="160"/>
        <w:rPr/>
      </w:pPr>
      <w:r>
        <w:t>Recommendation: use the Phase 1 site assessment to classify each of the 9 schools by enrolment and peak demand, then apply the Economy model at the smaller village schools and the Standard model at the larger ones, rather than applying one tier uniformly. A blended approach materially changes the budget picture in Year 1 — see Section 7.5.</w:t>
      </w:r>
    </w:p>
    <w:p w14:paraId="26396A17">
      <w:pPr>
        <w:pStyle w:val="style4106"/>
        <w:rPr/>
      </w:pPr>
      <w:r>
        <w:t>6. Staffing Plan: One Field Project Coordinator</w:t>
      </w:r>
    </w:p>
    <w:p w14:paraId="57A7E576">
      <w:pPr>
        <w:pStyle w:val="style0"/>
        <w:spacing w:after="160"/>
        <w:rPr/>
      </w:pPr>
      <w:r>
        <w:t>A single dedicated, paid Field Project Coordinator is recommended as the backbone of the monitoring and control system. Without a named, accountable individual, charitably-funded rural infrastructure of this kind has a well-documented tendency to fall into disuse once the installation team leaves.</w:t>
      </w:r>
    </w:p>
    <w:p w14:paraId="56DC8F3E">
      <w:pPr>
        <w:pStyle w:val="style4107"/>
        <w:rPr/>
      </w:pPr>
      <w:r>
        <w:t>6.1 Role Design — Addressing the Gurgaon–Vrindavan Distance</w:t>
      </w:r>
    </w:p>
    <w:p w14:paraId="80DD8EDD">
      <w:pPr>
        <w:pStyle w:val="style0"/>
        <w:spacing w:after="160"/>
        <w:rPr/>
      </w:pPr>
      <w:r>
        <w:t>Given that seven of the nine schools sit in the Vrindavan/Mathura cluster and only two in Gurgaon, the Coordinator should be based at or near the GLA University campus in Vrindavan, where most of the routine monitoring load sits. The two Gurgaon schools should be covered through scheduled visits at least once a quarter, supplemented by remote check-ins (phone/WhatsApp) with the school water champion and the local AMC vendor between visits. This is more realistic and cost-effective than expecting one person to cover both regions on an equal, frequent footing.</w:t>
      </w:r>
    </w:p>
    <w:p w14:paraId="B4C37D54">
      <w:pPr>
        <w:pStyle w:val="style4107"/>
        <w:rPr/>
      </w:pPr>
      <w:r>
        <w:t>6.2 Responsibilities</w:t>
      </w:r>
    </w:p>
    <w:p w14:paraId="513B8A59">
      <w:pPr>
        <w:pStyle w:val="style179"/>
        <w:numPr>
          <w:ilvl w:val="0"/>
          <w:numId w:val="1"/>
        </w:numPr>
        <w:spacing w:after="80"/>
        <w:rPr/>
      </w:pPr>
      <w:r>
        <w:t>Conduct the Phase 1 site assessments and support vendor evaluation.</w:t>
      </w:r>
    </w:p>
    <w:p w14:paraId="96AE8A74">
      <w:pPr>
        <w:pStyle w:val="style179"/>
        <w:numPr>
          <w:ilvl w:val="0"/>
          <w:numId w:val="1"/>
        </w:numPr>
        <w:spacing w:after="80"/>
        <w:rPr/>
      </w:pPr>
      <w:r>
        <w:t>Carry out monthly on-site visits per school (or quarterly for the two Gurgaon schools, supplemented by remote check-ins), using a standard checklist (TDS reading, visual inspection, filter/membrane status, logbook review).</w:t>
      </w:r>
    </w:p>
    <w:p w14:paraId="F3114BA2">
      <w:pPr>
        <w:pStyle w:val="style179"/>
        <w:numPr>
          <w:ilvl w:val="0"/>
          <w:numId w:val="1"/>
        </w:numPr>
        <w:spacing w:after="80"/>
        <w:rPr/>
      </w:pPr>
      <w:r>
        <w:t>Maintain the master tracker of AMC visit schedules and ensure the vendor is actually showing up as contracted.</w:t>
      </w:r>
    </w:p>
    <w:p w14:paraId="E75FA3D7">
      <w:pPr>
        <w:pStyle w:val="style179"/>
        <w:numPr>
          <w:ilvl w:val="0"/>
          <w:numId w:val="1"/>
        </w:numPr>
        <w:spacing w:after="80"/>
        <w:rPr/>
      </w:pPr>
      <w:r>
        <w:t>Coordinate quarterly third-party water-quality lab testing and file the certificates.</w:t>
      </w:r>
    </w:p>
    <w:p w14:paraId="74C51F8C">
      <w:pPr>
        <w:pStyle w:val="style179"/>
        <w:numPr>
          <w:ilvl w:val="0"/>
          <w:numId w:val="1"/>
        </w:numPr>
        <w:spacing w:after="80"/>
        <w:rPr/>
      </w:pPr>
      <w:r>
        <w:t>Train and periodically refresh the training of each school's water champion teacher.</w:t>
      </w:r>
    </w:p>
    <w:p w14:paraId="0E0AE863">
      <w:pPr>
        <w:pStyle w:val="style179"/>
        <w:numPr>
          <w:ilvl w:val="0"/>
          <w:numId w:val="1"/>
        </w:numPr>
        <w:spacing w:after="80"/>
        <w:rPr/>
      </w:pPr>
      <w:r>
        <w:t>Compile and submit the monthly, quarterly, and annual reports described in Section 10.</w:t>
      </w:r>
    </w:p>
    <w:p w14:paraId="16A8D3CF">
      <w:pPr>
        <w:pStyle w:val="style179"/>
        <w:numPr>
          <w:ilvl w:val="0"/>
          <w:numId w:val="1"/>
        </w:numPr>
        <w:spacing w:after="80"/>
        <w:rPr/>
      </w:pPr>
      <w:r>
        <w:t>Act as the first point of contact for breakdowns, liaising directly with the AMC vendor to minimise downtime.</w:t>
      </w:r>
    </w:p>
    <w:p w14:paraId="A0B318CC">
      <w:pPr>
        <w:pStyle w:val="style4107"/>
        <w:rPr/>
      </w:pPr>
      <w:r>
        <w:t>6.3 Profile and Reporting Line</w:t>
      </w:r>
    </w:p>
    <w:p w14:paraId="A44D8B33">
      <w:pPr>
        <w:pStyle w:val="style179"/>
        <w:numPr>
          <w:ilvl w:val="0"/>
          <w:numId w:val="1"/>
        </w:numPr>
        <w:spacing w:after="80"/>
        <w:rPr/>
      </w:pPr>
      <w:r>
        <w:t>Qualification: diploma or degree in environmental science, civil/public health engineering, or equivalent practical experience in rural water/sanitation projects.</w:t>
      </w:r>
    </w:p>
    <w:p w14:paraId="5B840C84">
      <w:pPr>
        <w:pStyle w:val="style179"/>
        <w:numPr>
          <w:ilvl w:val="0"/>
          <w:numId w:val="1"/>
        </w:numPr>
        <w:spacing w:after="80"/>
        <w:rPr/>
      </w:pPr>
      <w:r>
        <w:t>Experience: 2–3 years of field-based programme work, ideally including some exposure to water treatment or WASH (water, sanitation and hygiene) programmes.</w:t>
      </w:r>
    </w:p>
    <w:p w14:paraId="D1C02E4C">
      <w:pPr>
        <w:pStyle w:val="style179"/>
        <w:numPr>
          <w:ilvl w:val="0"/>
          <w:numId w:val="1"/>
        </w:numPr>
        <w:spacing w:after="80"/>
        <w:rPr/>
      </w:pPr>
      <w:r>
        <w:t>Practical requirements: willingness and means to travel within the Vrindavan/Mathura belt regularly and to Gurgaon quarterly; basic spoken/written Hindi and English; comfort with simple reporting in MS Office or Google Workspace.</w:t>
      </w:r>
    </w:p>
    <w:p w14:paraId="C7435C00">
      <w:pPr>
        <w:pStyle w:val="style179"/>
        <w:numPr>
          <w:ilvl w:val="0"/>
          <w:numId w:val="1"/>
        </w:numPr>
        <w:spacing w:after="80"/>
        <w:rPr/>
      </w:pPr>
      <w:r>
        <w:t>Reports to: a designated Trustee or Programme Head at Maitri Seva Trust, with a dotted-line check-in to GLA University's CSR/outreach cell for the Vrindavan cluster.</w:t>
      </w:r>
    </w:p>
    <w:p w14:paraId="25847A50">
      <w:pPr>
        <w:pStyle w:val="style4107"/>
        <w:rPr/>
      </w:pPr>
      <w:r>
        <w:t>6.4 Compensation (Indicative)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200"/>
        <w:gridCol w:w="2400"/>
        <w:gridCol w:w="2400"/>
        <w:gridCol w:w="2746"/>
      </w:tblGrid>
      <w:tr w14:paraId="C5DD11E6">
        <w:trPr>
          <w:tblHeader/>
        </w:trPr>
        <w:tc>
          <w:tcPr>
            <w:tcW w:w="22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B1309FF3">
            <w:pPr>
              <w:pStyle w:val="style0"/>
              <w:jc w:val="left"/>
              <w:rPr/>
            </w:pPr>
            <w:r>
              <w:rPr>
                <w:b/>
                <w:bCs/>
                <w:color w:val="ffffff"/>
              </w:rPr>
              <w:t>Year</w:t>
            </w:r>
          </w:p>
        </w:tc>
        <w:tc>
          <w:tcPr>
            <w:tcW w:w="24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7A9C244A">
            <w:pPr>
              <w:pStyle w:val="style0"/>
              <w:jc w:val="left"/>
              <w:rPr/>
            </w:pPr>
            <w:r>
              <w:rPr>
                <w:b/>
                <w:bCs/>
                <w:color w:val="ffffff"/>
              </w:rPr>
              <w:t>Monthly Salary (₹)</w:t>
            </w:r>
          </w:p>
        </w:tc>
        <w:tc>
          <w:tcPr>
            <w:tcW w:w="24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4E806219">
            <w:pPr>
              <w:pStyle w:val="style0"/>
              <w:jc w:val="left"/>
              <w:rPr/>
            </w:pPr>
            <w:r>
              <w:rPr>
                <w:b/>
                <w:bCs/>
                <w:color w:val="ffffff"/>
              </w:rPr>
              <w:t>Annual Salary (₹)</w:t>
            </w:r>
          </w:p>
        </w:tc>
        <w:tc>
          <w:tcPr>
            <w:tcW w:w="27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F36D8D61">
            <w:pPr>
              <w:pStyle w:val="style0"/>
              <w:jc w:val="left"/>
              <w:rPr/>
            </w:pPr>
            <w:r>
              <w:rPr>
                <w:b/>
                <w:bCs/>
                <w:color w:val="ffffff"/>
              </w:rPr>
              <w:t>Travel/Field Allowance (₹/yr)</w:t>
            </w:r>
          </w:p>
        </w:tc>
      </w:tr>
      <w:tr w14:paraId="D325236D">
        <w:tblPrEx/>
        <w:trPr/>
        <w:tc>
          <w:tcPr>
            <w:tcW w:w="2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5901377">
            <w:pPr>
              <w:pStyle w:val="style0"/>
              <w:jc w:val="left"/>
              <w:rPr/>
            </w:pPr>
            <w:r>
              <w:rPr>
                <w:b w:val="false"/>
                <w:bCs w:val="false"/>
              </w:rPr>
              <w:t>Year 1</w:t>
            </w:r>
          </w:p>
        </w:tc>
        <w:tc>
          <w:tcPr>
            <w:tcW w:w="24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2A22F398">
            <w:pPr>
              <w:pStyle w:val="style0"/>
              <w:jc w:val="left"/>
              <w:rPr/>
            </w:pPr>
            <w:r>
              <w:rPr>
                <w:b w:val="false"/>
                <w:bCs w:val="false"/>
              </w:rPr>
              <w:t>20,000</w:t>
            </w:r>
          </w:p>
        </w:tc>
        <w:tc>
          <w:tcPr>
            <w:tcW w:w="24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4247A9E">
            <w:pPr>
              <w:pStyle w:val="style0"/>
              <w:jc w:val="left"/>
              <w:rPr/>
            </w:pPr>
            <w:r>
              <w:rPr>
                <w:b w:val="false"/>
                <w:bCs w:val="false"/>
              </w:rPr>
              <w:t>2,40,000</w:t>
            </w:r>
          </w:p>
        </w:tc>
        <w:tc>
          <w:tcPr>
            <w:tcW w:w="27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32DBE329">
            <w:pPr>
              <w:pStyle w:val="style0"/>
              <w:jc w:val="left"/>
              <w:rPr/>
            </w:pPr>
            <w:r>
              <w:rPr>
                <w:b w:val="false"/>
                <w:bCs w:val="false"/>
              </w:rPr>
              <w:t>30,000</w:t>
            </w:r>
          </w:p>
        </w:tc>
      </w:tr>
      <w:tr w14:paraId="A2581D9C">
        <w:tblPrEx/>
        <w:trPr/>
        <w:tc>
          <w:tcPr>
            <w:tcW w:w="2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CFA86EB7">
            <w:pPr>
              <w:pStyle w:val="style0"/>
              <w:jc w:val="left"/>
              <w:rPr/>
            </w:pPr>
            <w:r>
              <w:rPr>
                <w:b w:val="false"/>
                <w:bCs w:val="false"/>
              </w:rPr>
              <w:t>Year 2</w:t>
            </w:r>
          </w:p>
        </w:tc>
        <w:tc>
          <w:tcPr>
            <w:tcW w:w="24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4DC6BB1">
            <w:pPr>
              <w:pStyle w:val="style0"/>
              <w:jc w:val="left"/>
              <w:rPr/>
            </w:pPr>
            <w:r>
              <w:rPr>
                <w:b w:val="false"/>
                <w:bCs w:val="false"/>
              </w:rPr>
              <w:t>22,000</w:t>
            </w:r>
          </w:p>
        </w:tc>
        <w:tc>
          <w:tcPr>
            <w:tcW w:w="24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816BD80">
            <w:pPr>
              <w:pStyle w:val="style0"/>
              <w:jc w:val="left"/>
              <w:rPr/>
            </w:pPr>
            <w:r>
              <w:rPr>
                <w:b w:val="false"/>
                <w:bCs w:val="false"/>
              </w:rPr>
              <w:t>2,64,000</w:t>
            </w:r>
          </w:p>
        </w:tc>
        <w:tc>
          <w:tcPr>
            <w:tcW w:w="27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17C4BE31">
            <w:pPr>
              <w:pStyle w:val="style0"/>
              <w:jc w:val="left"/>
              <w:rPr/>
            </w:pPr>
            <w:r>
              <w:rPr>
                <w:b w:val="false"/>
                <w:bCs w:val="false"/>
              </w:rPr>
              <w:t>40,000</w:t>
            </w:r>
          </w:p>
        </w:tc>
      </w:tr>
      <w:tr w14:paraId="39F98744">
        <w:tblPrEx/>
        <w:trPr/>
        <w:tc>
          <w:tcPr>
            <w:tcW w:w="2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07B093F">
            <w:pPr>
              <w:pStyle w:val="style0"/>
              <w:jc w:val="left"/>
              <w:rPr/>
            </w:pPr>
            <w:r>
              <w:rPr>
                <w:b w:val="false"/>
                <w:bCs w:val="false"/>
              </w:rPr>
              <w:t>Year 3</w:t>
            </w:r>
          </w:p>
        </w:tc>
        <w:tc>
          <w:tcPr>
            <w:tcW w:w="24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F8D2575">
            <w:pPr>
              <w:pStyle w:val="style0"/>
              <w:jc w:val="left"/>
              <w:rPr/>
            </w:pPr>
            <w:r>
              <w:rPr>
                <w:b w:val="false"/>
                <w:bCs w:val="false"/>
              </w:rPr>
              <w:t>24,000</w:t>
            </w:r>
          </w:p>
        </w:tc>
        <w:tc>
          <w:tcPr>
            <w:tcW w:w="24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B9122E9">
            <w:pPr>
              <w:pStyle w:val="style0"/>
              <w:jc w:val="left"/>
              <w:rPr/>
            </w:pPr>
            <w:r>
              <w:rPr>
                <w:b w:val="false"/>
                <w:bCs w:val="false"/>
              </w:rPr>
              <w:t>2,88,000</w:t>
            </w:r>
          </w:p>
        </w:tc>
        <w:tc>
          <w:tcPr>
            <w:tcW w:w="27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168146F9">
            <w:pPr>
              <w:pStyle w:val="style0"/>
              <w:jc w:val="left"/>
              <w:rPr/>
            </w:pPr>
            <w:r>
              <w:rPr>
                <w:b w:val="false"/>
                <w:bCs w:val="false"/>
              </w:rPr>
              <w:t>36,000</w:t>
            </w:r>
          </w:p>
        </w:tc>
      </w:tr>
    </w:tbl>
    <w:p w14:paraId="D953826F">
      <w:pPr>
        <w:pStyle w:val="style0"/>
        <w:spacing w:after="200"/>
        <w:rPr/>
      </w:pPr>
      <w:r>
        <w:rPr>
          <w:i/>
          <w:iCs/>
          <w:color w:val="595959"/>
          <w:sz w:val="19"/>
          <w:szCs w:val="19"/>
        </w:rPr>
        <w:t>Salary levels are indicative for a rural/semi-urban field role in this region and should be benchmarked against GLA University's own field-staff pay scales, which it may be able to share given its existing village outreach programme.</w:t>
      </w:r>
    </w:p>
    <w:p w14:paraId="FE80FB96">
      <w:pPr>
        <w:pStyle w:val="style4106"/>
        <w:rPr/>
      </w:pPr>
      <w:r>
        <w:t>7. Overall Budget: Years 1–3</w:t>
      </w:r>
    </w:p>
    <w:p w14:paraId="B38F892A">
      <w:pPr>
        <w:pStyle w:val="style0"/>
        <w:spacing w:after="160"/>
        <w:rPr/>
      </w:pPr>
      <w:r>
        <w:t>The budget is structured so that the Year 1 outlay sits within the Trust's stated investment band of ₹5–15 lakh. Years 2 and 3 are presented as a recommended, renewable annual commitment, to be reconfirmed by the Trust (and ideally co-funded in part by GLA University or additional donors) based on Year 1 results.</w:t>
      </w:r>
    </w:p>
    <w:p w14:paraId="FBC7002C">
      <w:pPr>
        <w:pStyle w:val="style4107"/>
        <w:rPr/>
      </w:pPr>
      <w:r>
        <w:t>7.1 Year 1 — Pilot and Initial Rollout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446"/>
        <w:gridCol w:w="3300"/>
      </w:tblGrid>
      <w:tr w14:paraId="3C4B4F0D">
        <w:trPr>
          <w:tblHeader/>
        </w:trPr>
        <w:tc>
          <w:tcPr>
            <w:tcW w:w="64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5CD40B1D">
            <w:pPr>
              <w:pStyle w:val="style0"/>
              <w:jc w:val="left"/>
              <w:rPr/>
            </w:pPr>
            <w:r>
              <w:rPr>
                <w:b/>
                <w:bCs/>
                <w:color w:val="ffffff"/>
              </w:rPr>
              <w:t>Budget Head</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8B533F53">
            <w:pPr>
              <w:pStyle w:val="style0"/>
              <w:jc w:val="left"/>
              <w:rPr/>
            </w:pPr>
            <w:r>
              <w:rPr>
                <w:b/>
                <w:bCs/>
                <w:color w:val="ffffff"/>
              </w:rPr>
              <w:t>Amount (₹)</w:t>
            </w:r>
          </w:p>
        </w:tc>
      </w:tr>
      <w:tr w14:paraId="ED44ED52">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5D2F60A">
            <w:pPr>
              <w:pStyle w:val="style0"/>
              <w:jc w:val="left"/>
              <w:rPr/>
            </w:pPr>
            <w:r>
              <w:rPr>
                <w:b w:val="false"/>
                <w:bCs w:val="false"/>
              </w:rPr>
              <w:t>Site assessment &amp; baseline water testing (9 schools)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1A51E09">
            <w:pPr>
              <w:pStyle w:val="style0"/>
              <w:jc w:val="left"/>
              <w:rPr/>
            </w:pPr>
            <w:r>
              <w:rPr>
                <w:b w:val="false"/>
                <w:bCs w:val="false"/>
              </w:rPr>
              <w:t>36,000</w:t>
            </w:r>
          </w:p>
        </w:tc>
      </w:tr>
      <w:tr w14:paraId="FE6EA19B">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1EE71C91">
            <w:pPr>
              <w:pStyle w:val="style0"/>
              <w:jc w:val="left"/>
              <w:rPr/>
            </w:pPr>
            <w:r>
              <w:rPr>
                <w:b w:val="false"/>
                <w:bCs w:val="false"/>
              </w:rPr>
              <w:t>CapEx — RO installation, 6 schools (2 Gurgaon + 4 priority Vrindavan)</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39ABA58">
            <w:pPr>
              <w:pStyle w:val="style0"/>
              <w:jc w:val="left"/>
              <w:rPr/>
            </w:pPr>
            <w:r>
              <w:rPr>
                <w:b w:val="false"/>
                <w:bCs w:val="false"/>
              </w:rPr>
              <w:t>7,80,000</w:t>
            </w:r>
          </w:p>
        </w:tc>
      </w:tr>
      <w:tr w14:paraId="8E2D242A">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E1E7350">
            <w:pPr>
              <w:pStyle w:val="style0"/>
              <w:jc w:val="left"/>
              <w:rPr/>
            </w:pPr>
            <w:r>
              <w:rPr>
                <w:b w:val="false"/>
                <w:bCs w:val="false"/>
              </w:rPr>
              <w:t>Field Coordinator — salary + travel allowance (12 months)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8C2477A">
            <w:pPr>
              <w:pStyle w:val="style0"/>
              <w:jc w:val="left"/>
              <w:rPr/>
            </w:pPr>
            <w:r>
              <w:rPr>
                <w:b w:val="false"/>
                <w:bCs w:val="false"/>
              </w:rPr>
              <w:t>2,70,000</w:t>
            </w:r>
          </w:p>
        </w:tc>
      </w:tr>
      <w:tr w14:paraId="34694F7D">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500227E">
            <w:pPr>
              <w:pStyle w:val="style0"/>
              <w:jc w:val="left"/>
              <w:rPr/>
            </w:pPr>
            <w:r>
              <w:rPr>
                <w:b w:val="false"/>
                <w:bCs w:val="false"/>
              </w:rPr>
              <w:t>O&amp;M for installed plants (partial-year coverage)</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6FCD641">
            <w:pPr>
              <w:pStyle w:val="style0"/>
              <w:jc w:val="left"/>
              <w:rPr/>
            </w:pPr>
            <w:r>
              <w:rPr>
                <w:b w:val="false"/>
                <w:bCs w:val="false"/>
              </w:rPr>
              <w:t>45,000</w:t>
            </w:r>
          </w:p>
        </w:tc>
      </w:tr>
      <w:tr w14:paraId="1527550B">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91AA4CC1">
            <w:pPr>
              <w:pStyle w:val="style0"/>
              <w:jc w:val="left"/>
              <w:rPr/>
            </w:pPr>
            <w:r>
              <w:rPr>
                <w:b w:val="false"/>
                <w:bCs w:val="false"/>
              </w:rPr>
              <w:t>Training of school staff/water champions (6 schools)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5492898">
            <w:pPr>
              <w:pStyle w:val="style0"/>
              <w:jc w:val="left"/>
              <w:rPr/>
            </w:pPr>
            <w:r>
              <w:rPr>
                <w:b w:val="false"/>
                <w:bCs w:val="false"/>
              </w:rPr>
              <w:t>18,000</w:t>
            </w:r>
          </w:p>
        </w:tc>
      </w:tr>
      <w:tr w14:paraId="27926A15">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7C03E431">
            <w:pPr>
              <w:pStyle w:val="style0"/>
              <w:jc w:val="left"/>
              <w:rPr/>
            </w:pPr>
            <w:r>
              <w:rPr>
                <w:b w:val="false"/>
                <w:bCs w:val="false"/>
              </w:rPr>
              <w:t>Contingency (~5%)</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0D44331">
            <w:pPr>
              <w:pStyle w:val="style0"/>
              <w:jc w:val="left"/>
              <w:rPr/>
            </w:pPr>
            <w:r>
              <w:rPr>
                <w:b w:val="false"/>
                <w:bCs w:val="false"/>
              </w:rPr>
              <w:t>57,450</w:t>
            </w:r>
          </w:p>
        </w:tc>
      </w:tr>
    </w:tbl>
    <w:p w14:paraId="BC087F85">
      <w:pPr>
        <w:pStyle w:val="style0"/>
        <w:spacing w:before="120" w:after="240"/>
        <w:rPr/>
      </w:pPr>
      <w:r>
        <w:rPr>
          <w:b/>
          <w:bCs/>
        </w:rPr>
        <w:t xml:space="preserve">Year 1 Total: </w:t>
      </w:r>
      <w:r>
        <w:rPr>
          <w:b/>
          <w:bCs/>
        </w:rPr>
        <w:t>₹12,06,450</w:t>
      </w:r>
    </w:p>
    <w:p w14:paraId="33103B20">
      <w:pPr>
        <w:pStyle w:val="style4107"/>
        <w:rPr/>
      </w:pPr>
      <w:r>
        <w:t>7.2 Year 2 — Scale-Up</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446"/>
        <w:gridCol w:w="3300"/>
      </w:tblGrid>
      <w:tr w14:paraId="B63E4A6D">
        <w:trPr>
          <w:tblHeader/>
        </w:trPr>
        <w:tc>
          <w:tcPr>
            <w:tcW w:w="64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6D179859">
            <w:pPr>
              <w:pStyle w:val="style0"/>
              <w:jc w:val="left"/>
              <w:rPr/>
            </w:pPr>
            <w:r>
              <w:rPr>
                <w:b/>
                <w:bCs/>
                <w:color w:val="ffffff"/>
              </w:rPr>
              <w:t>Budget Head</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628B550F">
            <w:pPr>
              <w:pStyle w:val="style0"/>
              <w:jc w:val="left"/>
              <w:rPr/>
            </w:pPr>
            <w:r>
              <w:rPr>
                <w:b/>
                <w:bCs/>
                <w:color w:val="ffffff"/>
              </w:rPr>
              <w:t>Amount (₹)</w:t>
            </w:r>
          </w:p>
        </w:tc>
      </w:tr>
      <w:tr w14:paraId="305C531C">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3E8507B2">
            <w:pPr>
              <w:pStyle w:val="style0"/>
              <w:jc w:val="left"/>
              <w:rPr/>
            </w:pPr>
            <w:r>
              <w:rPr>
                <w:b w:val="false"/>
                <w:bCs w:val="false"/>
              </w:rPr>
              <w:t>CapEx — RO installation, remaining 3 Vrindavan schools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171DB72">
            <w:pPr>
              <w:pStyle w:val="style0"/>
              <w:jc w:val="left"/>
              <w:rPr/>
            </w:pPr>
            <w:r>
              <w:rPr>
                <w:b w:val="false"/>
                <w:bCs w:val="false"/>
              </w:rPr>
              <w:t>3,90,000</w:t>
            </w:r>
          </w:p>
        </w:tc>
      </w:tr>
      <w:tr w14:paraId="9E984630">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4AD3334">
            <w:pPr>
              <w:pStyle w:val="style0"/>
              <w:jc w:val="left"/>
              <w:rPr/>
            </w:pPr>
            <w:r>
              <w:rPr>
                <w:b w:val="false"/>
                <w:bCs w:val="false"/>
              </w:rPr>
              <w:t>Field Coordinator — salary + travel allowance (12 months)</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631262E">
            <w:pPr>
              <w:pStyle w:val="style0"/>
              <w:jc w:val="left"/>
              <w:rPr/>
            </w:pPr>
            <w:r>
              <w:rPr>
                <w:b w:val="false"/>
                <w:bCs w:val="false"/>
              </w:rPr>
              <w:t>3,04,000</w:t>
            </w:r>
          </w:p>
        </w:tc>
      </w:tr>
      <w:tr w14:paraId="8DABEECE">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1149D1E">
            <w:pPr>
              <w:pStyle w:val="style0"/>
              <w:jc w:val="left"/>
              <w:rPr/>
            </w:pPr>
            <w:r>
              <w:rPr>
                <w:b w:val="false"/>
                <w:bCs w:val="false"/>
              </w:rPr>
              <w:t>O&amp;M for all 9 plants (full year)</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93321C11">
            <w:pPr>
              <w:pStyle w:val="style0"/>
              <w:jc w:val="left"/>
              <w:rPr/>
            </w:pPr>
            <w:r>
              <w:rPr>
                <w:b w:val="false"/>
                <w:bCs w:val="false"/>
              </w:rPr>
              <w:t>1,08,000</w:t>
            </w:r>
          </w:p>
        </w:tc>
      </w:tr>
      <w:tr w14:paraId="20101F2D">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0CF1914">
            <w:pPr>
              <w:pStyle w:val="style0"/>
              <w:jc w:val="left"/>
              <w:rPr/>
            </w:pPr>
            <w:r>
              <w:rPr>
                <w:b w:val="false"/>
                <w:bCs w:val="false"/>
              </w:rPr>
              <w:t>Mid-term third-party water-quality audit (9 schools, twice yearly)</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988FB3B1">
            <w:pPr>
              <w:pStyle w:val="style0"/>
              <w:jc w:val="left"/>
              <w:rPr/>
            </w:pPr>
            <w:r>
              <w:rPr>
                <w:b w:val="false"/>
                <w:bCs w:val="false"/>
              </w:rPr>
              <w:t>54,000</w:t>
            </w:r>
          </w:p>
        </w:tc>
      </w:tr>
      <w:tr w14:paraId="6310FB77">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2DBE4C9">
            <w:pPr>
              <w:pStyle w:val="style0"/>
              <w:jc w:val="left"/>
              <w:rPr/>
            </w:pPr>
            <w:r>
              <w:rPr>
                <w:b w:val="false"/>
                <w:bCs w:val="false"/>
              </w:rPr>
              <w:t>Contingency (~5%)</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53689F7">
            <w:pPr>
              <w:pStyle w:val="style0"/>
              <w:jc w:val="left"/>
              <w:rPr/>
            </w:pPr>
            <w:r>
              <w:rPr>
                <w:b w:val="false"/>
                <w:bCs w:val="false"/>
              </w:rPr>
              <w:t>42,800</w:t>
            </w:r>
          </w:p>
        </w:tc>
      </w:tr>
    </w:tbl>
    <w:p w14:paraId="5B90D5DD">
      <w:pPr>
        <w:pStyle w:val="style0"/>
        <w:spacing w:before="120" w:after="240"/>
        <w:rPr/>
      </w:pPr>
      <w:r>
        <w:rPr>
          <w:b/>
          <w:bCs/>
        </w:rPr>
        <w:t xml:space="preserve">Year 2 Total: </w:t>
      </w:r>
      <w:r>
        <w:rPr>
          <w:b/>
          <w:bCs/>
        </w:rPr>
        <w:t>₹8,98,800</w:t>
      </w:r>
    </w:p>
    <w:p w14:paraId="F314A2DE">
      <w:pPr>
        <w:pStyle w:val="style4107"/>
        <w:rPr/>
      </w:pPr>
      <w:r>
        <w:t>7.3 Year 3 — Consolidation and Sustainability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446"/>
        <w:gridCol w:w="3300"/>
      </w:tblGrid>
      <w:tr w14:paraId="C8D7ECD8">
        <w:trPr>
          <w:tblHeader/>
        </w:trPr>
        <w:tc>
          <w:tcPr>
            <w:tcW w:w="64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B5597785">
            <w:pPr>
              <w:pStyle w:val="style0"/>
              <w:jc w:val="left"/>
              <w:rPr/>
            </w:pPr>
            <w:r>
              <w:rPr>
                <w:b/>
                <w:bCs/>
                <w:color w:val="ffffff"/>
              </w:rPr>
              <w:t>Budget Head</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0653A746">
            <w:pPr>
              <w:pStyle w:val="style0"/>
              <w:jc w:val="left"/>
              <w:rPr/>
            </w:pPr>
            <w:r>
              <w:rPr>
                <w:b/>
                <w:bCs/>
                <w:color w:val="ffffff"/>
              </w:rPr>
              <w:t>Amount (₹)</w:t>
            </w:r>
          </w:p>
        </w:tc>
      </w:tr>
      <w:tr w14:paraId="1AD0C118">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79FF655F">
            <w:pPr>
              <w:pStyle w:val="style0"/>
              <w:jc w:val="left"/>
              <w:rPr/>
            </w:pPr>
            <w:r>
              <w:rPr>
                <w:b w:val="false"/>
                <w:bCs w:val="false"/>
              </w:rPr>
              <w:t>Minor component/membrane replacement (oldest ~3 plants)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6CDDF38">
            <w:pPr>
              <w:pStyle w:val="style0"/>
              <w:jc w:val="left"/>
              <w:rPr/>
            </w:pPr>
            <w:r>
              <w:rPr>
                <w:b w:val="false"/>
                <w:bCs w:val="false"/>
              </w:rPr>
              <w:t>18,000</w:t>
            </w:r>
          </w:p>
        </w:tc>
      </w:tr>
      <w:tr w14:paraId="84ECD9FA">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A28F760">
            <w:pPr>
              <w:pStyle w:val="style0"/>
              <w:jc w:val="left"/>
              <w:rPr/>
            </w:pPr>
            <w:r>
              <w:rPr>
                <w:b w:val="false"/>
                <w:bCs w:val="false"/>
              </w:rPr>
              <w:t>Field Coordinator — salary + travel allowance (12 months)</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F10FAC5">
            <w:pPr>
              <w:pStyle w:val="style0"/>
              <w:jc w:val="left"/>
              <w:rPr/>
            </w:pPr>
            <w:r>
              <w:rPr>
                <w:b w:val="false"/>
                <w:bCs w:val="false"/>
              </w:rPr>
              <w:t>3,24,000</w:t>
            </w:r>
          </w:p>
        </w:tc>
      </w:tr>
      <w:tr w14:paraId="97896D7D">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F759551">
            <w:pPr>
              <w:pStyle w:val="style0"/>
              <w:jc w:val="left"/>
              <w:rPr/>
            </w:pPr>
            <w:r>
              <w:rPr>
                <w:b w:val="false"/>
                <w:bCs w:val="false"/>
              </w:rPr>
              <w:t>O&amp;M for all 9 plants (full year)</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6FC0B8D8">
            <w:pPr>
              <w:pStyle w:val="style0"/>
              <w:jc w:val="left"/>
              <w:rPr/>
            </w:pPr>
            <w:r>
              <w:rPr>
                <w:b w:val="false"/>
                <w:bCs w:val="false"/>
              </w:rPr>
              <w:t>1,08,000</w:t>
            </w:r>
          </w:p>
        </w:tc>
      </w:tr>
      <w:tr w14:paraId="6C8E75FF">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D296C968">
            <w:pPr>
              <w:pStyle w:val="style0"/>
              <w:jc w:val="left"/>
              <w:rPr/>
            </w:pPr>
            <w:r>
              <w:rPr>
                <w:b w:val="false"/>
                <w:bCs w:val="false"/>
              </w:rPr>
              <w:t>Annual water-quality audit (9 schools, twice yearly)</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853C764">
            <w:pPr>
              <w:pStyle w:val="style0"/>
              <w:jc w:val="left"/>
              <w:rPr/>
            </w:pPr>
            <w:r>
              <w:rPr>
                <w:b w:val="false"/>
                <w:bCs w:val="false"/>
              </w:rPr>
              <w:t>54,000</w:t>
            </w:r>
          </w:p>
        </w:tc>
      </w:tr>
      <w:tr w14:paraId="D7A591AD">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661008F">
            <w:pPr>
              <w:pStyle w:val="style0"/>
              <w:jc w:val="left"/>
              <w:rPr/>
            </w:pPr>
            <w:r>
              <w:rPr>
                <w:b w:val="false"/>
                <w:bCs w:val="false"/>
              </w:rPr>
              <w:t>Sustainability/handover documentation &amp; refresher training</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E696CC7">
            <w:pPr>
              <w:pStyle w:val="style0"/>
              <w:jc w:val="left"/>
              <w:rPr/>
            </w:pPr>
            <w:r>
              <w:rPr>
                <w:b w:val="false"/>
                <w:bCs w:val="false"/>
              </w:rPr>
              <w:t>25,000</w:t>
            </w:r>
          </w:p>
        </w:tc>
      </w:tr>
      <w:tr w14:paraId="6611C6D1">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FDA1AE8">
            <w:pPr>
              <w:pStyle w:val="style0"/>
              <w:jc w:val="left"/>
              <w:rPr/>
            </w:pPr>
            <w:r>
              <w:rPr>
                <w:b w:val="false"/>
                <w:bCs w:val="false"/>
              </w:rPr>
              <w:t>Contingency (~5%)</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C231D59">
            <w:pPr>
              <w:pStyle w:val="style0"/>
              <w:jc w:val="left"/>
              <w:rPr/>
            </w:pPr>
            <w:r>
              <w:rPr>
                <w:b w:val="false"/>
                <w:bCs w:val="false"/>
              </w:rPr>
              <w:t>26,450</w:t>
            </w:r>
          </w:p>
        </w:tc>
      </w:tr>
    </w:tbl>
    <w:p w14:paraId="F732E7E9">
      <w:pPr>
        <w:pStyle w:val="style0"/>
        <w:spacing w:before="120" w:after="240"/>
        <w:rPr/>
      </w:pPr>
      <w:r>
        <w:rPr>
          <w:b/>
          <w:bCs/>
        </w:rPr>
        <w:t xml:space="preserve">Year 3 Total: </w:t>
      </w:r>
      <w:r>
        <w:rPr>
          <w:b/>
          <w:bCs/>
        </w:rPr>
        <w:t>₹5,55,450</w:t>
      </w:r>
    </w:p>
    <w:p w14:paraId="AFAAFEA1">
      <w:pPr>
        <w:pStyle w:val="style4107"/>
        <w:rPr/>
      </w:pPr>
      <w:r>
        <w:t>7.4 Three-Year Summary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446"/>
        <w:gridCol w:w="2300"/>
        <w:gridCol w:w="2400"/>
        <w:gridCol w:w="2600"/>
      </w:tblGrid>
      <w:tr w14:paraId="B3CE1A3B">
        <w:trPr>
          <w:tblHeader/>
        </w:trPr>
        <w:tc>
          <w:tcPr>
            <w:tcW w:w="24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B2B9CC64">
            <w:pPr>
              <w:pStyle w:val="style0"/>
              <w:jc w:val="left"/>
              <w:rPr/>
            </w:pPr>
            <w:r>
              <w:rPr>
                <w:b/>
                <w:bCs/>
                <w:color w:val="ffffff"/>
              </w:rPr>
              <w:t>Year</w:t>
            </w:r>
          </w:p>
        </w:tc>
        <w:tc>
          <w:tcPr>
            <w:tcW w:w="2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E24EF253">
            <w:pPr>
              <w:pStyle w:val="style0"/>
              <w:jc w:val="left"/>
              <w:rPr/>
            </w:pPr>
            <w:r>
              <w:rPr>
                <w:b/>
                <w:bCs/>
                <w:color w:val="ffffff"/>
              </w:rPr>
              <w:t>CapEx</w:t>
            </w:r>
          </w:p>
        </w:tc>
        <w:tc>
          <w:tcPr>
            <w:tcW w:w="24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7F99FEA4">
            <w:pPr>
              <w:pStyle w:val="style0"/>
              <w:jc w:val="left"/>
              <w:rPr/>
            </w:pPr>
            <w:r>
              <w:rPr>
                <w:b/>
                <w:bCs/>
                <w:color w:val="ffffff"/>
              </w:rPr>
              <w:t>OpEx &amp; Staffing</w:t>
            </w:r>
          </w:p>
        </w:tc>
        <w:tc>
          <w:tcPr>
            <w:tcW w:w="26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F1FAB695">
            <w:pPr>
              <w:pStyle w:val="style0"/>
              <w:jc w:val="left"/>
              <w:rPr/>
            </w:pPr>
            <w:r>
              <w:rPr>
                <w:b/>
                <w:bCs/>
                <w:color w:val="ffffff"/>
              </w:rPr>
              <w:t>Year Total (₹)</w:t>
            </w:r>
          </w:p>
        </w:tc>
      </w:tr>
      <w:tr w14:paraId="DE14B5B3">
        <w:tblPrEx/>
        <w:trPr/>
        <w:tc>
          <w:tcPr>
            <w:tcW w:w="2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9C81C6F">
            <w:pPr>
              <w:pStyle w:val="style0"/>
              <w:jc w:val="left"/>
              <w:rPr/>
            </w:pPr>
            <w:r>
              <w:rPr>
                <w:b w:val="false"/>
                <w:bCs w:val="false"/>
              </w:rPr>
              <w:t>Year 1</w:t>
            </w:r>
          </w:p>
        </w:tc>
        <w:tc>
          <w:tcPr>
            <w:tcW w:w="2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59CD2BD">
            <w:pPr>
              <w:pStyle w:val="style0"/>
              <w:jc w:val="left"/>
              <w:rPr/>
            </w:pPr>
            <w:r>
              <w:rPr>
                <w:b w:val="false"/>
                <w:bCs w:val="false"/>
              </w:rPr>
              <w:t>₹7,80,000</w:t>
            </w:r>
          </w:p>
        </w:tc>
        <w:tc>
          <w:tcPr>
            <w:tcW w:w="24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50C8DD93">
            <w:pPr>
              <w:pStyle w:val="style0"/>
              <w:jc w:val="left"/>
              <w:rPr/>
            </w:pPr>
            <w:r>
              <w:rPr>
                <w:b w:val="false"/>
                <w:bCs w:val="false"/>
              </w:rPr>
              <w:t>₹4,26,450</w:t>
            </w:r>
          </w:p>
        </w:tc>
        <w:tc>
          <w:tcPr>
            <w:tcW w:w="26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6F4ADA5">
            <w:pPr>
              <w:pStyle w:val="style0"/>
              <w:jc w:val="left"/>
              <w:rPr/>
            </w:pPr>
            <w:r>
              <w:rPr>
                <w:b w:val="false"/>
                <w:bCs w:val="false"/>
              </w:rPr>
              <w:t>₹12,06,450</w:t>
            </w:r>
          </w:p>
        </w:tc>
      </w:tr>
      <w:tr w14:paraId="E5A14C8E">
        <w:tblPrEx/>
        <w:trPr/>
        <w:tc>
          <w:tcPr>
            <w:tcW w:w="2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39B57B3">
            <w:pPr>
              <w:pStyle w:val="style0"/>
              <w:jc w:val="left"/>
              <w:rPr/>
            </w:pPr>
            <w:r>
              <w:rPr>
                <w:b w:val="false"/>
                <w:bCs w:val="false"/>
              </w:rPr>
              <w:t>Year 2</w:t>
            </w:r>
          </w:p>
        </w:tc>
        <w:tc>
          <w:tcPr>
            <w:tcW w:w="2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77960CB">
            <w:pPr>
              <w:pStyle w:val="style0"/>
              <w:jc w:val="left"/>
              <w:rPr/>
            </w:pPr>
            <w:r>
              <w:rPr>
                <w:b w:val="false"/>
                <w:bCs w:val="false"/>
              </w:rPr>
              <w:t>₹3,90,000</w:t>
            </w:r>
          </w:p>
        </w:tc>
        <w:tc>
          <w:tcPr>
            <w:tcW w:w="24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7AA0BEB6">
            <w:pPr>
              <w:pStyle w:val="style0"/>
              <w:jc w:val="left"/>
              <w:rPr/>
            </w:pPr>
            <w:r>
              <w:rPr>
                <w:b w:val="false"/>
                <w:bCs w:val="false"/>
              </w:rPr>
              <w:t>₹5,08,800</w:t>
            </w:r>
          </w:p>
        </w:tc>
        <w:tc>
          <w:tcPr>
            <w:tcW w:w="26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DE36F49">
            <w:pPr>
              <w:pStyle w:val="style0"/>
              <w:jc w:val="left"/>
              <w:rPr/>
            </w:pPr>
            <w:r>
              <w:rPr>
                <w:b w:val="false"/>
                <w:bCs w:val="false"/>
              </w:rPr>
              <w:t>₹8,98,800</w:t>
            </w:r>
          </w:p>
        </w:tc>
      </w:tr>
      <w:tr w14:paraId="0B85DC84">
        <w:tblPrEx/>
        <w:trPr/>
        <w:tc>
          <w:tcPr>
            <w:tcW w:w="2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B27596C">
            <w:pPr>
              <w:pStyle w:val="style0"/>
              <w:jc w:val="left"/>
              <w:rPr/>
            </w:pPr>
            <w:r>
              <w:rPr>
                <w:b w:val="false"/>
                <w:bCs w:val="false"/>
              </w:rPr>
              <w:t>Year 3</w:t>
            </w:r>
          </w:p>
        </w:tc>
        <w:tc>
          <w:tcPr>
            <w:tcW w:w="2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92D964C">
            <w:pPr>
              <w:pStyle w:val="style0"/>
              <w:jc w:val="left"/>
              <w:rPr/>
            </w:pPr>
            <w:r>
              <w:rPr>
                <w:b w:val="false"/>
                <w:bCs w:val="false"/>
              </w:rPr>
              <w:t>₹18,000</w:t>
            </w:r>
          </w:p>
        </w:tc>
        <w:tc>
          <w:tcPr>
            <w:tcW w:w="24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6A733F33">
            <w:pPr>
              <w:pStyle w:val="style0"/>
              <w:jc w:val="left"/>
              <w:rPr/>
            </w:pPr>
            <w:r>
              <w:rPr>
                <w:b w:val="false"/>
                <w:bCs w:val="false"/>
              </w:rPr>
              <w:t>₹5,37,450</w:t>
            </w:r>
          </w:p>
        </w:tc>
        <w:tc>
          <w:tcPr>
            <w:tcW w:w="26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6668D48">
            <w:pPr>
              <w:pStyle w:val="style0"/>
              <w:jc w:val="left"/>
              <w:rPr/>
            </w:pPr>
            <w:r>
              <w:rPr>
                <w:b w:val="false"/>
                <w:bCs w:val="false"/>
              </w:rPr>
              <w:t>₹5,55,450</w:t>
            </w:r>
          </w:p>
        </w:tc>
      </w:tr>
      <w:tr w14:paraId="15A0CBAF">
        <w:tblPrEx/>
        <w:trPr/>
        <w:tc>
          <w:tcPr>
            <w:tcW w:w="2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A3CE7F5">
            <w:pPr>
              <w:pStyle w:val="style0"/>
              <w:jc w:val="left"/>
              <w:rPr/>
            </w:pPr>
            <w:r>
              <w:rPr>
                <w:b w:val="false"/>
                <w:bCs w:val="false"/>
              </w:rPr>
              <w:t>3-Year Total</w:t>
            </w:r>
          </w:p>
        </w:tc>
        <w:tc>
          <w:tcPr>
            <w:tcW w:w="2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4ACB8F3">
            <w:pPr>
              <w:pStyle w:val="style0"/>
              <w:jc w:val="left"/>
              <w:rPr/>
            </w:pPr>
            <w:r>
              <w:rPr>
                <w:b w:val="false"/>
                <w:bCs w:val="false"/>
              </w:rPr>
              <w:t>₹11,88,000</w:t>
            </w:r>
          </w:p>
        </w:tc>
        <w:tc>
          <w:tcPr>
            <w:tcW w:w="24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D07D030">
            <w:pPr>
              <w:pStyle w:val="style0"/>
              <w:jc w:val="left"/>
              <w:rPr/>
            </w:pPr>
            <w:r>
              <w:rPr>
                <w:b w:val="false"/>
                <w:bCs w:val="false"/>
              </w:rPr>
              <w:t>₹14,72,700</w:t>
            </w:r>
          </w:p>
        </w:tc>
        <w:tc>
          <w:tcPr>
            <w:tcW w:w="26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0674C15A">
            <w:pPr>
              <w:pStyle w:val="style0"/>
              <w:jc w:val="left"/>
              <w:rPr/>
            </w:pPr>
            <w:r>
              <w:rPr>
                <w:b w:val="false"/>
                <w:bCs w:val="false"/>
              </w:rPr>
              <w:t>₹26,60,700</w:t>
            </w:r>
          </w:p>
        </w:tc>
      </w:tr>
    </w:tbl>
    <w:p w14:paraId="31D4571B">
      <w:pPr>
        <w:pStyle w:val="style0"/>
        <w:spacing w:after="200"/>
        <w:rPr/>
      </w:pPr>
      <w:r>
        <w:rPr>
          <w:i/>
          <w:iCs/>
          <w:color w:val="595959"/>
          <w:sz w:val="19"/>
          <w:szCs w:val="19"/>
        </w:rPr>
        <w:t>The full three-year programme (all 9 schools, 3 years of staffing and O&amp;M) totals approximately ₹26.6 lakh — above the initially stated ₹5–15 lakh. This is presented transparently rather than understated: Year 1 alone (₹12.0 lakh) fits the Trust's stated band and delivers a complete, working proof of concept across 6 schools; Years 2–3 represent a follow-on ask once that proof of concept is demonstrated.</w:t>
      </w:r>
    </w:p>
    <w:p w14:paraId="409F6828">
      <w:pPr>
        <w:pStyle w:val="style4107"/>
        <w:rPr/>
      </w:pPr>
      <w:r>
        <w:t>7.5 Alternative Scenario: Blended Model — Full Rollout in Year 1</w:t>
      </w:r>
    </w:p>
    <w:p w14:paraId="161AB791">
      <w:pPr>
        <w:pStyle w:val="style0"/>
        <w:spacing w:after="160"/>
        <w:rPr/>
      </w:pPr>
      <w:r>
        <w:t>Using the Economy model (Section 5.1) at the Trust's smaller village schools and the Standard model (Section 5.2) at the larger ones changes the picture materially: all 9 schools can potentially be covered in Year 1 itself, within the Trust's stated ₹15 lakh ceiling, rather than phasing 3 schools into Year 2. The illustrative split below assumes 4 smaller schools on the Economy model and 5 larger schools on the Standard model — the actual split should follow the Phase 1 enrolment and demand assessment.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446"/>
        <w:gridCol w:w="3300"/>
      </w:tblGrid>
      <w:tr w14:paraId="7D06B62A">
        <w:trPr>
          <w:tblHeader/>
        </w:trPr>
        <w:tc>
          <w:tcPr>
            <w:tcW w:w="64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2305AB10">
            <w:pPr>
              <w:pStyle w:val="style0"/>
              <w:jc w:val="left"/>
              <w:rPr/>
            </w:pPr>
            <w:r>
              <w:rPr>
                <w:b/>
                <w:bCs/>
                <w:color w:val="ffffff"/>
              </w:rPr>
              <w:t>Budget Head</w:t>
            </w:r>
          </w:p>
        </w:tc>
        <w:tc>
          <w:tcPr>
            <w:tcW w:w="3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914B4BC7">
            <w:pPr>
              <w:pStyle w:val="style0"/>
              <w:jc w:val="left"/>
              <w:rPr/>
            </w:pPr>
            <w:r>
              <w:rPr>
                <w:b/>
                <w:bCs/>
                <w:color w:val="ffffff"/>
              </w:rPr>
              <w:t>Amount (₹)</w:t>
            </w:r>
          </w:p>
        </w:tc>
      </w:tr>
      <w:tr w14:paraId="ED730B2B">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77680E3C">
            <w:pPr>
              <w:pStyle w:val="style0"/>
              <w:jc w:val="left"/>
              <w:rPr/>
            </w:pPr>
            <w:r>
              <w:rPr>
                <w:b w:val="false"/>
                <w:bCs w:val="false"/>
              </w:rPr>
              <w:t>Site assessment &amp; baseline water testing (9 schools)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E4DD55C">
            <w:pPr>
              <w:pStyle w:val="style0"/>
              <w:jc w:val="left"/>
              <w:rPr/>
            </w:pPr>
            <w:r>
              <w:rPr>
                <w:b w:val="false"/>
                <w:bCs w:val="false"/>
              </w:rPr>
              <w:t>36,000</w:t>
            </w:r>
          </w:p>
        </w:tc>
      </w:tr>
      <w:tr w14:paraId="CAF199EC">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BAFB78B">
            <w:pPr>
              <w:pStyle w:val="style0"/>
              <w:jc w:val="left"/>
              <w:rPr/>
            </w:pPr>
            <w:r>
              <w:rPr>
                <w:b w:val="false"/>
                <w:bCs w:val="false"/>
              </w:rPr>
              <w:t>CapEx — blended, all 9 schools (4 Economy @ ₹59,000 + 5 Standard @ ₹1,30,000)</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B020E56E">
            <w:pPr>
              <w:pStyle w:val="style0"/>
              <w:jc w:val="left"/>
              <w:rPr/>
            </w:pPr>
            <w:r>
              <w:rPr>
                <w:b w:val="false"/>
                <w:bCs w:val="false"/>
              </w:rPr>
              <w:t>8,86,000</w:t>
            </w:r>
          </w:p>
        </w:tc>
      </w:tr>
      <w:tr w14:paraId="F25BF398">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BA8360E">
            <w:pPr>
              <w:pStyle w:val="style0"/>
              <w:jc w:val="left"/>
              <w:rPr/>
            </w:pPr>
            <w:r>
              <w:rPr>
                <w:b w:val="false"/>
                <w:bCs w:val="false"/>
              </w:rPr>
              <w:t>Field Coordinator — salary + travel allowance (12 months)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775906B4">
            <w:pPr>
              <w:pStyle w:val="style0"/>
              <w:jc w:val="left"/>
              <w:rPr/>
            </w:pPr>
            <w:r>
              <w:rPr>
                <w:b w:val="false"/>
                <w:bCs w:val="false"/>
              </w:rPr>
              <w:t>2,70,000</w:t>
            </w:r>
          </w:p>
        </w:tc>
      </w:tr>
      <w:tr w14:paraId="F9415CF9">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7B3CC7D">
            <w:pPr>
              <w:pStyle w:val="style0"/>
              <w:jc w:val="left"/>
              <w:rPr/>
            </w:pPr>
            <w:r>
              <w:rPr>
                <w:b w:val="false"/>
                <w:bCs w:val="false"/>
              </w:rPr>
              <w:t>O&amp;M for all 9 plants (partial-year coverage as they come online)</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01758F03">
            <w:pPr>
              <w:pStyle w:val="style0"/>
              <w:jc w:val="left"/>
              <w:rPr/>
            </w:pPr>
            <w:r>
              <w:rPr>
                <w:b w:val="false"/>
                <w:bCs w:val="false"/>
              </w:rPr>
              <w:t>68,000</w:t>
            </w:r>
          </w:p>
        </w:tc>
      </w:tr>
      <w:tr w14:paraId="B9B3F96D">
        <w:tblPrEx/>
        <w:trPr/>
        <w:tc>
          <w:tcPr>
            <w:tcW w:w="64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2D2A8B72">
            <w:pPr>
              <w:pStyle w:val="style0"/>
              <w:jc w:val="left"/>
              <w:rPr/>
            </w:pPr>
            <w:r>
              <w:rPr>
                <w:b w:val="false"/>
                <w:bCs w:val="false"/>
              </w:rPr>
              <w:t>Training of school staff/water champions (9 schools)</w:t>
            </w:r>
          </w:p>
        </w:tc>
        <w:tc>
          <w:tcPr>
            <w:tcW w:w="3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F581EBB">
            <w:pPr>
              <w:pStyle w:val="style0"/>
              <w:jc w:val="left"/>
              <w:rPr/>
            </w:pPr>
            <w:r>
              <w:rPr>
                <w:b w:val="false"/>
                <w:bCs w:val="false"/>
              </w:rPr>
              <w:t>27,000</w:t>
            </w:r>
          </w:p>
        </w:tc>
      </w:tr>
      <w:tr w14:paraId="5599D644">
        <w:tblPrEx/>
        <w:trPr/>
        <w:tc>
          <w:tcPr>
            <w:tcW w:w="64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911E956">
            <w:pPr>
              <w:pStyle w:val="style0"/>
              <w:jc w:val="left"/>
              <w:rPr/>
            </w:pPr>
            <w:r>
              <w:rPr>
                <w:b w:val="false"/>
                <w:bCs w:val="false"/>
              </w:rPr>
              <w:t>Contingency (~5%)</w:t>
            </w:r>
          </w:p>
        </w:tc>
        <w:tc>
          <w:tcPr>
            <w:tcW w:w="3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ACB7D72">
            <w:pPr>
              <w:pStyle w:val="style0"/>
              <w:jc w:val="left"/>
              <w:rPr/>
            </w:pPr>
            <w:r>
              <w:rPr>
                <w:b w:val="false"/>
                <w:bCs w:val="false"/>
              </w:rPr>
              <w:t>64,350</w:t>
            </w:r>
          </w:p>
        </w:tc>
      </w:tr>
    </w:tbl>
    <w:p w14:paraId="7C0F00EA">
      <w:pPr>
        <w:pStyle w:val="style0"/>
        <w:spacing w:before="120" w:after="200"/>
        <w:rPr/>
      </w:pPr>
      <w:r>
        <w:rPr>
          <w:b/>
          <w:bCs/>
        </w:rPr>
        <w:t xml:space="preserve">Blended Scenario — Year 1 Total: </w:t>
      </w:r>
      <w:r>
        <w:rPr>
          <w:b/>
          <w:bCs/>
        </w:rPr>
        <w:t>₹13,51,350</w:t>
      </w:r>
    </w:p>
    <w:p w14:paraId="DD4E3CB2">
      <w:pPr>
        <w:pStyle w:val="style0"/>
        <w:spacing w:after="160"/>
        <w:rPr/>
      </w:pPr>
      <w:r>
        <w:t>Under this scenario, Year 2 and Year 3 become pure O&amp;M and consolidation years (no further CapEx) at roughly ₹5.2 lakh and ₹6.1 lakh respectively — bringing the full 3-year programme to approximately ₹24.8 lakh, slightly below the phased scenario in Sections 7.1–7.4, while completing installation across all 9 schools a full year sooner.</w:t>
      </w:r>
    </w:p>
    <w:p w14:paraId="952D5CF3">
      <w:pPr>
        <w:pStyle w:val="style0"/>
        <w:spacing w:after="200"/>
        <w:rPr/>
      </w:pPr>
      <w:r>
        <w:rPr>
          <w:i/>
          <w:iCs/>
          <w:color w:val="595959"/>
          <w:sz w:val="19"/>
          <w:szCs w:val="19"/>
        </w:rPr>
        <w:t>This blended scenario is offered as the preferred option if the Trust wants every school covered within the first year of the grant; the phased scenario in 7.1–7.4 is offered if the Trust prefers to validate the model on 6 schools before committing the full corpus. Both are valid; the choice is the Trust's to make once Phase 1 assessment data is in hand.</w:t>
      </w:r>
    </w:p>
    <w:p w14:paraId="D857BAD6">
      <w:pPr>
        <w:pStyle w:val="style4106"/>
        <w:rPr/>
      </w:pPr>
      <w:r>
        <w:t>8. Important Points to Keep in Mind</w:t>
      </w:r>
    </w:p>
    <w:p w14:paraId="330C36CB">
      <w:pPr>
        <w:pStyle w:val="style179"/>
        <w:numPr>
          <w:ilvl w:val="0"/>
          <w:numId w:val="1"/>
        </w:numPr>
        <w:spacing w:after="80"/>
        <w:rPr/>
      </w:pPr>
      <w:r>
        <w:rPr>
          <w:b/>
          <w:bCs/>
        </w:rPr>
        <w:t xml:space="preserve">Test the source water before sizing anything. </w:t>
      </w:r>
      <w:r>
        <w:t>RO plant capacity and the number of pre-treatment stages depend on the actual borewell water quality at each school, not a generic assumption — this must come before vendor selection, not after.</w:t>
      </w:r>
    </w:p>
    <w:p w14:paraId="A3C2C45D">
      <w:pPr>
        <w:pStyle w:val="style179"/>
        <w:numPr>
          <w:ilvl w:val="0"/>
          <w:numId w:val="1"/>
        </w:numPr>
        <w:spacing w:after="80"/>
        <w:rPr/>
      </w:pPr>
      <w:r>
        <w:rPr>
          <w:b/>
          <w:bCs/>
        </w:rPr>
        <w:t xml:space="preserve">Capex without committed O&amp;M is the most common failure mode. </w:t>
      </w:r>
      <w:r>
        <w:t>Rural RO installations across India frequently fall idle within 1–2 years once the installing agency disengages. The Coordinator role and AMC budget in this paper exist specifically to prevent that outcome — they are not optional add-ons.</w:t>
      </w:r>
    </w:p>
    <w:p w14:paraId="C15A51FB">
      <w:pPr>
        <w:pStyle w:val="style179"/>
        <w:numPr>
          <w:ilvl w:val="0"/>
          <w:numId w:val="1"/>
        </w:numPr>
        <w:spacing w:after="80"/>
        <w:rPr/>
      </w:pPr>
      <w:r>
        <w:rPr>
          <w:b/>
          <w:bCs/>
        </w:rPr>
        <w:t xml:space="preserve">Size to actual enrolment and usage pattern, </w:t>
      </w:r>
      <w:r>
        <w:t>not a round number. Oversized plants waste capital; undersized plants create queues that eat into class time and encourage children to revert to the old water source.</w:t>
      </w:r>
    </w:p>
    <w:p w14:paraId="05D821BB">
      <w:pPr>
        <w:pStyle w:val="style179"/>
        <w:numPr>
          <w:ilvl w:val="0"/>
          <w:numId w:val="1"/>
        </w:numPr>
        <w:spacing w:after="80"/>
        <w:rPr/>
      </w:pPr>
      <w:r>
        <w:rPr>
          <w:b/>
          <w:bCs/>
        </w:rPr>
        <w:t xml:space="preserve">Plan for reject (waste) water from day one, </w:t>
      </w:r>
      <w:r>
        <w:t>routing it to non-potable use (toilets, kitchen garden) rather than letting it run to waste — this also pre-empts a fair criticism of RO technology.</w:t>
      </w:r>
    </w:p>
    <w:p w14:paraId="AD6C61C2">
      <w:pPr>
        <w:pStyle w:val="style179"/>
        <w:numPr>
          <w:ilvl w:val="0"/>
          <w:numId w:val="1"/>
        </w:numPr>
        <w:spacing w:after="80"/>
        <w:rPr/>
      </w:pPr>
      <w:r>
        <w:rPr>
          <w:b/>
          <w:bCs/>
        </w:rPr>
        <w:t xml:space="preserve">Appoint a school-level 'water champion' teacher </w:t>
      </w:r>
      <w:r>
        <w:t>at every school, distinct from the Trust's regional Coordinator, responsible for the daily logbook and the first line of troubleshooting.</w:t>
      </w:r>
    </w:p>
    <w:p w14:paraId="DD59391B">
      <w:pPr>
        <w:pStyle w:val="style179"/>
        <w:numPr>
          <w:ilvl w:val="0"/>
          <w:numId w:val="1"/>
        </w:numPr>
        <w:spacing w:after="80"/>
        <w:rPr/>
      </w:pPr>
      <w:r>
        <w:rPr>
          <w:b/>
          <w:bCs/>
        </w:rPr>
        <w:t xml:space="preserve">Check for scheme overlap. </w:t>
      </w:r>
      <w:r>
        <w:t>Confirm whether a school already has, or is slated to receive, water infrastructure under a government scheme such as Jal Jeevan Mission, to avoid duplication and to look for co-funding or complementary opportunities instead.</w:t>
      </w:r>
    </w:p>
    <w:p w14:paraId="78A67213">
      <w:pPr>
        <w:pStyle w:val="style179"/>
        <w:numPr>
          <w:ilvl w:val="0"/>
          <w:numId w:val="1"/>
        </w:numPr>
        <w:spacing w:after="80"/>
        <w:rPr/>
      </w:pPr>
      <w:r>
        <w:rPr>
          <w:b/>
          <w:bCs/>
        </w:rPr>
        <w:t xml:space="preserve">Define asset ownership and an exit/handover horizon up front </w:t>
      </w:r>
      <w:r>
        <w:t>in the MoU with GLA University and the schools — at what point (e.g., end of Year 3 or Year 5) does operating responsibility formally transfer to the school/government, and on what terms.</w:t>
      </w:r>
    </w:p>
    <w:p w14:paraId="ADD28FBF">
      <w:pPr>
        <w:pStyle w:val="style179"/>
        <w:numPr>
          <w:ilvl w:val="0"/>
          <w:numId w:val="1"/>
        </w:numPr>
        <w:spacing w:after="80"/>
        <w:rPr/>
      </w:pPr>
      <w:r>
        <w:rPr>
          <w:b/>
          <w:bCs/>
        </w:rPr>
        <w:t xml:space="preserve">Keep visibility proportionate. </w:t>
      </w:r>
      <w:r>
        <w:t>A simple acknowledgement plaque at each site is reasonable; the messaging should keep the focus on the children's health outcome rather than the Trust's branding.</w:t>
      </w:r>
    </w:p>
    <w:p w14:paraId="D952D868">
      <w:pPr>
        <w:pStyle w:val="style179"/>
        <w:numPr>
          <w:ilvl w:val="0"/>
          <w:numId w:val="1"/>
        </w:numPr>
        <w:spacing w:after="80"/>
        <w:rPr/>
      </w:pPr>
      <w:r>
        <w:rPr>
          <w:b/>
          <w:bCs/>
        </w:rPr>
        <w:t xml:space="preserve">Treat the Gurgaon and Vrindavan clusters differently in monitoring cadence, </w:t>
      </w:r>
      <w:r>
        <w:t>given the ~180 km distance between them — see Section 6.1.</w:t>
      </w:r>
    </w:p>
    <w:p w14:paraId="BB317BE3">
      <w:pPr>
        <w:pStyle w:val="style4106"/>
        <w:rPr/>
      </w:pPr>
      <w:r>
        <w:t>9. SWOT Analysis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873"/>
        <w:gridCol w:w="4873"/>
      </w:tblGrid>
      <w:tr w14:paraId="5A25D223">
        <w:trPr/>
        <w:tc>
          <w:tcPr>
            <w:tcW w:w="4873" w:type="dxa"/>
            <w:tcBorders>
              <w:top w:val="single" w:sz="2" w:space="0" w:color="bfbfbf"/>
              <w:left w:val="single" w:sz="2" w:space="0" w:color="bfbfbf"/>
              <w:bottom w:val="single" w:sz="2" w:space="0" w:color="bfbfbf"/>
              <w:right w:val="single" w:sz="2" w:space="0" w:color="bfbfbf"/>
            </w:tcBorders>
            <w:shd w:val="clear" w:color="auto" w:fill="c6e0b4"/>
            <w:tcMar>
              <w:top w:w="100" w:type="dxa"/>
              <w:left w:w="130" w:type="dxa"/>
              <w:bottom w:w="100" w:type="dxa"/>
              <w:right w:w="130" w:type="dxa"/>
            </w:tcMar>
            <w:vAlign w:val="center"/>
          </w:tcPr>
          <w:p w14:paraId="22181359">
            <w:pPr>
              <w:pStyle w:val="style0"/>
              <w:jc w:val="left"/>
              <w:rPr/>
            </w:pPr>
            <w:r>
              <w:rPr>
                <w:b/>
                <w:bCs/>
              </w:rPr>
              <w:t>STRENGTHS</w:t>
            </w:r>
          </w:p>
        </w:tc>
        <w:tc>
          <w:tcPr>
            <w:tcW w:w="4873" w:type="dxa"/>
            <w:tcBorders>
              <w:top w:val="single" w:sz="2" w:space="0" w:color="bfbfbf"/>
              <w:left w:val="single" w:sz="2" w:space="0" w:color="bfbfbf"/>
              <w:bottom w:val="single" w:sz="2" w:space="0" w:color="bfbfbf"/>
              <w:right w:val="single" w:sz="2" w:space="0" w:color="bfbfbf"/>
            </w:tcBorders>
            <w:shd w:val="clear" w:color="auto" w:fill="f8cbad"/>
            <w:tcMar>
              <w:top w:w="100" w:type="dxa"/>
              <w:left w:w="130" w:type="dxa"/>
              <w:bottom w:w="100" w:type="dxa"/>
              <w:right w:w="130" w:type="dxa"/>
            </w:tcMar>
            <w:vAlign w:val="center"/>
          </w:tcPr>
          <w:p w14:paraId="CA38AE27">
            <w:pPr>
              <w:pStyle w:val="style0"/>
              <w:jc w:val="left"/>
              <w:rPr/>
            </w:pPr>
            <w:r>
              <w:rPr>
                <w:b/>
                <w:bCs/>
              </w:rPr>
              <w:t>WEAKNESSES</w:t>
            </w:r>
          </w:p>
        </w:tc>
      </w:tr>
      <w:tr w14:paraId="3607E7AA">
        <w:tblPrEx/>
        <w:trPr/>
        <w:tc>
          <w:tcPr>
            <w:tcW w:w="4873"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64759338">
            <w:pPr>
              <w:pStyle w:val="style0"/>
              <w:spacing w:after="60"/>
              <w:rPr/>
            </w:pPr>
            <w:r>
              <w:t>Clear charitable mandate and funding readiness at the Trust.</w:t>
            </w:r>
          </w:p>
          <w:p w14:paraId="97CE4A88">
            <w:pPr>
              <w:pStyle w:val="style0"/>
              <w:spacing w:after="60"/>
              <w:rPr/>
            </w:pPr>
            <w:r>
              <w:t>GLA University as an institutional partner with existing trust and local presence in 7 of 9 schools.</w:t>
            </w:r>
          </w:p>
          <w:p w14:paraId="65D31F06">
            <w:pPr>
              <w:pStyle w:val="style0"/>
              <w:spacing w:after="60"/>
              <w:rPr/>
            </w:pPr>
            <w:r>
              <w:t>Well-bounded, clearly identified need with direct child-health relevance.</w:t>
            </w:r>
          </w:p>
          <w:p w14:paraId="F1F88434">
            <w:pPr>
              <w:pStyle w:val="style0"/>
              <w:spacing w:after="0"/>
              <w:rPr/>
            </w:pPr>
            <w:r>
              <w:t>RO technology and vendor ecosystem are mature and well understood in India.</w:t>
            </w:r>
          </w:p>
        </w:tc>
        <w:tc>
          <w:tcPr>
            <w:tcW w:w="4873"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1848A07">
            <w:pPr>
              <w:pStyle w:val="style0"/>
              <w:spacing w:after="60"/>
              <w:rPr/>
            </w:pPr>
            <w:r>
              <w:t>Geographic spread between Gurgaon and Vrindavan complicates monitoring.</w:t>
            </w:r>
          </w:p>
          <w:p w14:paraId="F6D18A0B">
            <w:pPr>
              <w:pStyle w:val="style0"/>
              <w:spacing w:after="60"/>
              <w:rPr/>
            </w:pPr>
            <w:r>
              <w:t>Reliance on a single Coordinator creates a degree of single-point-of-failure risk.</w:t>
            </w:r>
          </w:p>
          <w:p w14:paraId="A0AE0E2F">
            <w:pPr>
              <w:pStyle w:val="style0"/>
              <w:spacing w:after="60"/>
              <w:rPr/>
            </w:pPr>
            <w:r>
              <w:t>Rural electricity reliability can affect plant uptime.</w:t>
            </w:r>
          </w:p>
          <w:p w14:paraId="205696B3">
            <w:pPr>
              <w:pStyle w:val="style0"/>
              <w:spacing w:after="0"/>
              <w:rPr/>
            </w:pPr>
            <w:r>
              <w:t>Schools typically lack in-house technical staff for upkeep without training.</w:t>
            </w:r>
          </w:p>
        </w:tc>
      </w:tr>
      <w:tr w14:paraId="15222479">
        <w:tblPrEx/>
        <w:trPr/>
        <w:tc>
          <w:tcPr>
            <w:tcW w:w="4873" w:type="dxa"/>
            <w:tcBorders>
              <w:top w:val="single" w:sz="2" w:space="0" w:color="bfbfbf"/>
              <w:left w:val="single" w:sz="2" w:space="0" w:color="bfbfbf"/>
              <w:bottom w:val="single" w:sz="2" w:space="0" w:color="bfbfbf"/>
              <w:right w:val="single" w:sz="2" w:space="0" w:color="bfbfbf"/>
            </w:tcBorders>
            <w:shd w:val="clear" w:color="auto" w:fill="bdd7ee"/>
            <w:tcMar>
              <w:top w:w="100" w:type="dxa"/>
              <w:left w:w="130" w:type="dxa"/>
              <w:bottom w:w="100" w:type="dxa"/>
              <w:right w:w="130" w:type="dxa"/>
            </w:tcMar>
            <w:vAlign w:val="center"/>
          </w:tcPr>
          <w:p w14:paraId="73DCFFF1">
            <w:pPr>
              <w:pStyle w:val="style0"/>
              <w:jc w:val="left"/>
              <w:rPr/>
            </w:pPr>
            <w:r>
              <w:rPr>
                <w:b/>
                <w:bCs/>
              </w:rPr>
              <w:t>OPPORTUNITIES</w:t>
            </w:r>
          </w:p>
        </w:tc>
        <w:tc>
          <w:tcPr>
            <w:tcW w:w="4873" w:type="dxa"/>
            <w:tcBorders>
              <w:top w:val="single" w:sz="2" w:space="0" w:color="bfbfbf"/>
              <w:left w:val="single" w:sz="2" w:space="0" w:color="bfbfbf"/>
              <w:bottom w:val="single" w:sz="2" w:space="0" w:color="bfbfbf"/>
              <w:right w:val="single" w:sz="2" w:space="0" w:color="bfbfbf"/>
            </w:tcBorders>
            <w:shd w:val="clear" w:color="auto" w:fill="ffe699"/>
            <w:tcMar>
              <w:top w:w="100" w:type="dxa"/>
              <w:left w:w="130" w:type="dxa"/>
              <w:bottom w:w="100" w:type="dxa"/>
              <w:right w:w="130" w:type="dxa"/>
            </w:tcMar>
            <w:vAlign w:val="center"/>
          </w:tcPr>
          <w:p w14:paraId="8DEEABAC">
            <w:pPr>
              <w:pStyle w:val="style0"/>
              <w:jc w:val="left"/>
              <w:rPr/>
            </w:pPr>
            <w:r>
              <w:rPr>
                <w:b/>
                <w:bCs/>
              </w:rPr>
              <w:t>THREATS</w:t>
            </w:r>
          </w:p>
        </w:tc>
      </w:tr>
      <w:tr w14:paraId="29C8619F">
        <w:tblPrEx/>
        <w:trPr/>
        <w:tc>
          <w:tcPr>
            <w:tcW w:w="4873"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E9A3C57">
            <w:pPr>
              <w:pStyle w:val="style0"/>
              <w:spacing w:after="60"/>
              <w:rPr/>
            </w:pPr>
            <w:r>
              <w:t>A successful pilot is readily scalable to further GLA-supported villages or other Trust geographies.</w:t>
            </w:r>
          </w:p>
          <w:p w14:paraId="29CD41B9">
            <w:pPr>
              <w:pStyle w:val="style0"/>
              <w:spacing w:after="60"/>
              <w:rPr/>
            </w:pPr>
            <w:r>
              <w:t>Strong proof of concept may attract co-funding or CSR partners for Years 2–3.</w:t>
            </w:r>
          </w:p>
          <w:p w14:paraId="5E7B208A">
            <w:pPr>
              <w:pStyle w:val="style0"/>
              <w:spacing w:after="60"/>
              <w:rPr/>
            </w:pPr>
            <w:r>
              <w:t>Builds the Trust's track record and visibility in the WASH sector.</w:t>
            </w:r>
          </w:p>
          <w:p w14:paraId="B31DE6CC">
            <w:pPr>
              <w:pStyle w:val="style0"/>
              <w:spacing w:after="0"/>
              <w:rPr/>
            </w:pPr>
            <w:r>
              <w:t>Potential to align/coordinate with government schemes such as Jal Jeevan Mission.</w:t>
            </w:r>
          </w:p>
        </w:tc>
        <w:tc>
          <w:tcPr>
            <w:tcW w:w="4873"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9674ED2">
            <w:pPr>
              <w:pStyle w:val="style0"/>
              <w:spacing w:after="60"/>
              <w:rPr/>
            </w:pPr>
            <w:r>
              <w:t>Inconsistent AMC vendor service quality is a recurring sector-wide risk.</w:t>
            </w:r>
          </w:p>
          <w:p w14:paraId="EF80F5CD">
            <w:pPr>
              <w:pStyle w:val="style0"/>
              <w:spacing w:after="60"/>
              <w:rPr/>
            </w:pPr>
            <w:r>
              <w:t>Possible vandalism or misuse of equipment in unsupervised settings.</w:t>
            </w:r>
          </w:p>
          <w:p w14:paraId="4035BD02">
            <w:pPr>
              <w:pStyle w:val="style0"/>
              <w:spacing w:after="60"/>
              <w:rPr/>
            </w:pPr>
            <w:r>
              <w:t>Source water quality can fluctuate seasonally, requiring re-calibration.</w:t>
            </w:r>
          </w:p>
          <w:p w14:paraId="31EC8C7D">
            <w:pPr>
              <w:pStyle w:val="style0"/>
              <w:spacing w:after="0"/>
              <w:rPr/>
            </w:pPr>
            <w:r>
              <w:t>School staff turnover may disrupt the local water-champion continuity.</w:t>
            </w:r>
          </w:p>
        </w:tc>
      </w:tr>
    </w:tbl>
    <w:p w14:paraId="012C5CC7">
      <w:pPr>
        <w:pStyle w:val="style4106"/>
        <w:rPr/>
      </w:pPr>
      <w:r>
        <w:t>10. Monitoring and Control Mechanisms</w:t>
      </w:r>
    </w:p>
    <w:p w14:paraId="76411F6A">
      <w:pPr>
        <w:pStyle w:val="style0"/>
        <w:spacing w:after="160"/>
        <w:rPr/>
      </w:pPr>
      <w:r>
        <w:t>Control rests on layering several independent checks so that no single failure (a missed vendor visit, a busy Coordinator, a disengaged teacher) goes unnoticed for long.</w:t>
      </w:r>
    </w:p>
    <w:p w14:paraId="6DDC030B">
      <w:pPr>
        <w:pStyle w:val="style179"/>
        <w:numPr>
          <w:ilvl w:val="0"/>
          <w:numId w:val="3"/>
        </w:numPr>
        <w:spacing w:after="80"/>
        <w:rPr/>
      </w:pPr>
      <w:r>
        <w:t>Monthly site-visit checklist by the Coordinator: visual inspection, TDS-meter reading, filter/membrane status, and logbook cross-check (Vrindavan cluster monthly; Gurgaon cluster quarterly with remote check-ins in between).</w:t>
      </w:r>
    </w:p>
    <w:p w14:paraId="A8D45890">
      <w:pPr>
        <w:pStyle w:val="style179"/>
        <w:numPr>
          <w:ilvl w:val="0"/>
          <w:numId w:val="3"/>
        </w:numPr>
        <w:spacing w:after="80"/>
        <w:rPr/>
      </w:pPr>
      <w:r>
        <w:t>Quarterly third-party laboratory water-quality testing against IS 10500 parameters, with certificates filed and shared with the Trust.</w:t>
      </w:r>
    </w:p>
    <w:p w14:paraId="237B0689">
      <w:pPr>
        <w:pStyle w:val="style179"/>
        <w:numPr>
          <w:ilvl w:val="0"/>
          <w:numId w:val="3"/>
        </w:numPr>
        <w:spacing w:after="80"/>
        <w:rPr/>
      </w:pPr>
      <w:r>
        <w:t>AMC vendor visit log verification — the Coordinator confirms each contracted vendor visit actually took place, rather than relying on the vendor's self-reporting alone.</w:t>
      </w:r>
    </w:p>
    <w:p w14:paraId="EBB6A827">
      <w:pPr>
        <w:pStyle w:val="style179"/>
        <w:numPr>
          <w:ilvl w:val="0"/>
          <w:numId w:val="3"/>
        </w:numPr>
        <w:spacing w:after="80"/>
        <w:rPr/>
      </w:pPr>
      <w:r>
        <w:t>A daily logbook maintained at school level by the water champion teacher, recording usage, any visible issues, and basic readings.</w:t>
      </w:r>
    </w:p>
    <w:p w14:paraId="FC67F0AF">
      <w:pPr>
        <w:pStyle w:val="style179"/>
        <w:numPr>
          <w:ilvl w:val="0"/>
          <w:numId w:val="3"/>
        </w:numPr>
        <w:spacing w:after="80"/>
        <w:rPr/>
      </w:pPr>
      <w:r>
        <w:t>Time-stamped, geo-tagged photographic evidence from each Coordinator visit, shared with the Trust as part of the monthly report.</w:t>
      </w:r>
    </w:p>
    <w:p w14:paraId="FAD732B2">
      <w:pPr>
        <w:pStyle w:val="style179"/>
        <w:numPr>
          <w:ilvl w:val="0"/>
          <w:numId w:val="3"/>
        </w:numPr>
        <w:spacing w:after="80"/>
        <w:rPr/>
      </w:pPr>
      <w:r>
        <w:t>An annual cross-check by GLA University's CSR/outreach cell for the seven Vrindavan-cluster schools, as an independent second opinion alongside the Coordinator's own reporting.</w:t>
      </w:r>
    </w:p>
    <w:p w14:paraId="80D6018B">
      <w:pPr>
        <w:pStyle w:val="style179"/>
        <w:numPr>
          <w:ilvl w:val="0"/>
          <w:numId w:val="3"/>
        </w:numPr>
        <w:spacing w:after="80"/>
        <w:rPr/>
      </w:pPr>
      <w:r>
        <w:t>A simple WhatsApp/phone grievance line so any school can report a breakdown immediately rather than waiting for the next scheduled visit.</w:t>
      </w:r>
    </w:p>
    <w:p w14:paraId="4E66C81E">
      <w:pPr>
        <w:pStyle w:val="style4106"/>
        <w:rPr/>
      </w:pPr>
      <w:r>
        <w:t>11. Reports to Be Generated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200"/>
        <w:gridCol w:w="1500"/>
        <w:gridCol w:w="2300"/>
        <w:gridCol w:w="3746"/>
      </w:tblGrid>
      <w:tr w14:paraId="B43F11A2">
        <w:trPr>
          <w:tblHeader/>
        </w:trPr>
        <w:tc>
          <w:tcPr>
            <w:tcW w:w="22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BB6DDC0F">
            <w:pPr>
              <w:pStyle w:val="style0"/>
              <w:jc w:val="left"/>
              <w:rPr/>
            </w:pPr>
            <w:r>
              <w:rPr>
                <w:b/>
                <w:bCs/>
                <w:color w:val="ffffff"/>
              </w:rPr>
              <w:t>Report</w:t>
            </w:r>
          </w:p>
        </w:tc>
        <w:tc>
          <w:tcPr>
            <w:tcW w:w="15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962CBC89">
            <w:pPr>
              <w:pStyle w:val="style0"/>
              <w:jc w:val="left"/>
              <w:rPr/>
            </w:pPr>
            <w:r>
              <w:rPr>
                <w:b/>
                <w:bCs/>
                <w:color w:val="ffffff"/>
              </w:rPr>
              <w:t>Frequency</w:t>
            </w:r>
          </w:p>
        </w:tc>
        <w:tc>
          <w:tcPr>
            <w:tcW w:w="2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FEDA26BF">
            <w:pPr>
              <w:pStyle w:val="style0"/>
              <w:jc w:val="left"/>
              <w:rPr/>
            </w:pPr>
            <w:r>
              <w:rPr>
                <w:b/>
                <w:bCs/>
                <w:color w:val="ffffff"/>
              </w:rPr>
              <w:t>Prepared By</w:t>
            </w:r>
          </w:p>
        </w:tc>
        <w:tc>
          <w:tcPr>
            <w:tcW w:w="37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37A20FBF">
            <w:pPr>
              <w:pStyle w:val="style0"/>
              <w:jc w:val="left"/>
              <w:rPr/>
            </w:pPr>
            <w:r>
              <w:rPr>
                <w:b/>
                <w:bCs/>
                <w:color w:val="ffffff"/>
              </w:rPr>
              <w:t>Key Contents</w:t>
            </w:r>
          </w:p>
        </w:tc>
      </w:tr>
      <w:tr w14:paraId="DFFC033E">
        <w:tblPrEx/>
        <w:trPr/>
        <w:tc>
          <w:tcPr>
            <w:tcW w:w="2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02AE592">
            <w:pPr>
              <w:pStyle w:val="style0"/>
              <w:jc w:val="left"/>
              <w:rPr/>
            </w:pPr>
            <w:r>
              <w:rPr>
                <w:b w:val="false"/>
                <w:bCs w:val="false"/>
              </w:rPr>
              <w:t>Monthly Progress Report</w:t>
            </w:r>
          </w:p>
        </w:tc>
        <w:tc>
          <w:tcPr>
            <w:tcW w:w="15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5857427">
            <w:pPr>
              <w:pStyle w:val="style0"/>
              <w:jc w:val="left"/>
              <w:rPr/>
            </w:pPr>
            <w:r>
              <w:rPr>
                <w:b w:val="false"/>
                <w:bCs w:val="false"/>
              </w:rPr>
              <w:t>Monthly</w:t>
            </w:r>
          </w:p>
        </w:tc>
        <w:tc>
          <w:tcPr>
            <w:tcW w:w="2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7A66AEA">
            <w:pPr>
              <w:pStyle w:val="style0"/>
              <w:jc w:val="left"/>
              <w:rPr/>
            </w:pPr>
            <w:r>
              <w:rPr>
                <w:b w:val="false"/>
                <w:bCs w:val="false"/>
              </w:rPr>
              <w:t>Field Coordinator</w:t>
            </w:r>
          </w:p>
        </w:tc>
        <w:tc>
          <w:tcPr>
            <w:tcW w:w="37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05C011D">
            <w:pPr>
              <w:pStyle w:val="style0"/>
              <w:spacing w:after="60"/>
              <w:rPr/>
            </w:pPr>
            <w:r>
              <w:t>Plant-by-plant status</w:t>
            </w:r>
          </w:p>
          <w:p w14:paraId="F74CADC2">
            <w:pPr>
              <w:pStyle w:val="style0"/>
              <w:spacing w:after="60"/>
              <w:rPr/>
            </w:pPr>
            <w:r>
              <w:t>Issues raised &amp; resolved</w:t>
            </w:r>
          </w:p>
          <w:p w14:paraId="06A6C4CE">
            <w:pPr>
              <w:pStyle w:val="style0"/>
              <w:spacing w:after="60"/>
              <w:rPr/>
            </w:pPr>
            <w:r>
              <w:t>Photographs</w:t>
            </w:r>
          </w:p>
          <w:p w14:paraId="D16394B0">
            <w:pPr>
              <w:pStyle w:val="style0"/>
              <w:spacing w:after="0"/>
              <w:rPr/>
            </w:pPr>
            <w:r>
              <w:t>Spend to date</w:t>
            </w:r>
          </w:p>
        </w:tc>
      </w:tr>
      <w:tr w14:paraId="FF9511A3">
        <w:tblPrEx/>
        <w:trPr/>
        <w:tc>
          <w:tcPr>
            <w:tcW w:w="2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BC5E1ACE">
            <w:pPr>
              <w:pStyle w:val="style0"/>
              <w:jc w:val="left"/>
              <w:rPr/>
            </w:pPr>
            <w:r>
              <w:rPr>
                <w:b w:val="false"/>
                <w:bCs w:val="false"/>
              </w:rPr>
              <w:t>Quarterly Water Quality Report</w:t>
            </w:r>
          </w:p>
        </w:tc>
        <w:tc>
          <w:tcPr>
            <w:tcW w:w="15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230E12E5">
            <w:pPr>
              <w:pStyle w:val="style0"/>
              <w:jc w:val="left"/>
              <w:rPr/>
            </w:pPr>
            <w:r>
              <w:rPr>
                <w:b w:val="false"/>
                <w:bCs w:val="false"/>
              </w:rPr>
              <w:t>Quarterly</w:t>
            </w:r>
          </w:p>
        </w:tc>
        <w:tc>
          <w:tcPr>
            <w:tcW w:w="2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6BD956B0">
            <w:pPr>
              <w:pStyle w:val="style0"/>
              <w:jc w:val="left"/>
              <w:rPr/>
            </w:pPr>
            <w:r>
              <w:rPr>
                <w:b w:val="false"/>
                <w:bCs w:val="false"/>
              </w:rPr>
              <w:t>Accredited lab / Coordinator</w:t>
            </w:r>
          </w:p>
        </w:tc>
        <w:tc>
          <w:tcPr>
            <w:tcW w:w="37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C1D64147">
            <w:pPr>
              <w:pStyle w:val="style0"/>
              <w:spacing w:after="60"/>
              <w:rPr/>
            </w:pPr>
            <w:r>
              <w:t>IS 10500 parameter results per school</w:t>
            </w:r>
          </w:p>
          <w:p w14:paraId="2A115372">
            <w:pPr>
              <w:pStyle w:val="style0"/>
              <w:spacing w:after="60"/>
              <w:rPr/>
            </w:pPr>
            <w:r>
              <w:t>Pass/fail flag</w:t>
            </w:r>
          </w:p>
          <w:p w14:paraId="C98C0013">
            <w:pPr>
              <w:pStyle w:val="style0"/>
              <w:spacing w:after="0"/>
              <w:rPr/>
            </w:pPr>
            <w:r>
              <w:t>Corrective action if any</w:t>
            </w:r>
          </w:p>
        </w:tc>
      </w:tr>
      <w:tr w14:paraId="2B4D7397">
        <w:tblPrEx/>
        <w:trPr/>
        <w:tc>
          <w:tcPr>
            <w:tcW w:w="2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9E8DDBF1">
            <w:pPr>
              <w:pStyle w:val="style0"/>
              <w:jc w:val="left"/>
              <w:rPr/>
            </w:pPr>
            <w:r>
              <w:rPr>
                <w:b w:val="false"/>
                <w:bCs w:val="false"/>
              </w:rPr>
              <w:t>Quarterly Financial Statement</w:t>
            </w:r>
          </w:p>
        </w:tc>
        <w:tc>
          <w:tcPr>
            <w:tcW w:w="15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AA7B3DA8">
            <w:pPr>
              <w:pStyle w:val="style0"/>
              <w:jc w:val="left"/>
              <w:rPr/>
            </w:pPr>
            <w:r>
              <w:rPr>
                <w:b w:val="false"/>
                <w:bCs w:val="false"/>
              </w:rPr>
              <w:t>Quarterly</w:t>
            </w:r>
          </w:p>
        </w:tc>
        <w:tc>
          <w:tcPr>
            <w:tcW w:w="2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83342272">
            <w:pPr>
              <w:pStyle w:val="style0"/>
              <w:jc w:val="left"/>
              <w:rPr/>
            </w:pPr>
            <w:r>
              <w:rPr>
                <w:b w:val="false"/>
                <w:bCs w:val="false"/>
              </w:rPr>
              <w:t>Coordinator / Trust accounts</w:t>
            </w:r>
          </w:p>
        </w:tc>
        <w:tc>
          <w:tcPr>
            <w:tcW w:w="37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F522D4E0">
            <w:pPr>
              <w:pStyle w:val="style0"/>
              <w:spacing w:after="60"/>
              <w:rPr/>
            </w:pPr>
            <w:r>
              <w:t>CapEx vs. budget</w:t>
            </w:r>
          </w:p>
          <w:p w14:paraId="935C45E3">
            <w:pPr>
              <w:pStyle w:val="style0"/>
              <w:spacing w:after="60"/>
              <w:rPr/>
            </w:pPr>
            <w:r>
              <w:t>O&amp;M spend vs. budget</w:t>
            </w:r>
          </w:p>
          <w:p w14:paraId="8633678D">
            <w:pPr>
              <w:pStyle w:val="style0"/>
              <w:spacing w:after="0"/>
              <w:rPr/>
            </w:pPr>
            <w:r>
              <w:t>Variance notes</w:t>
            </w:r>
          </w:p>
        </w:tc>
      </w:tr>
      <w:tr w14:paraId="E4B8459A">
        <w:tblPrEx/>
        <w:trPr/>
        <w:tc>
          <w:tcPr>
            <w:tcW w:w="2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3460087">
            <w:pPr>
              <w:pStyle w:val="style0"/>
              <w:jc w:val="left"/>
              <w:rPr/>
            </w:pPr>
            <w:r>
              <w:rPr>
                <w:b w:val="false"/>
                <w:bCs w:val="false"/>
              </w:rPr>
              <w:t>Bi-annual Stakeholder Review</w:t>
            </w:r>
          </w:p>
        </w:tc>
        <w:tc>
          <w:tcPr>
            <w:tcW w:w="15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435C3C1">
            <w:pPr>
              <w:pStyle w:val="style0"/>
              <w:jc w:val="left"/>
              <w:rPr/>
            </w:pPr>
            <w:r>
              <w:rPr>
                <w:b w:val="false"/>
                <w:bCs w:val="false"/>
              </w:rPr>
              <w:t>Twice yearly</w:t>
            </w:r>
          </w:p>
        </w:tc>
        <w:tc>
          <w:tcPr>
            <w:tcW w:w="2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DE5A1CF">
            <w:pPr>
              <w:pStyle w:val="style0"/>
              <w:jc w:val="left"/>
              <w:rPr/>
            </w:pPr>
            <w:r>
              <w:rPr>
                <w:b w:val="false"/>
                <w:bCs w:val="false"/>
              </w:rPr>
              <w:t>Coordinator, reviewed by Trust + GLA University</w:t>
            </w:r>
          </w:p>
        </w:tc>
        <w:tc>
          <w:tcPr>
            <w:tcW w:w="37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845C48C">
            <w:pPr>
              <w:pStyle w:val="style0"/>
              <w:spacing w:after="60"/>
              <w:rPr/>
            </w:pPr>
            <w:r>
              <w:t>Programme-level summary</w:t>
            </w:r>
          </w:p>
          <w:p w14:paraId="B5D41C35">
            <w:pPr>
              <w:pStyle w:val="style0"/>
              <w:spacing w:after="60"/>
              <w:rPr/>
            </w:pPr>
            <w:r>
              <w:t>Risks and decisions needed</w:t>
            </w:r>
          </w:p>
          <w:p w14:paraId="56CF9C4F">
            <w:pPr>
              <w:pStyle w:val="style0"/>
              <w:spacing w:after="0"/>
              <w:rPr/>
            </w:pPr>
            <w:r>
              <w:t>Plan for next 6 months</w:t>
            </w:r>
          </w:p>
        </w:tc>
      </w:tr>
      <w:tr w14:paraId="7C766FFC">
        <w:tblPrEx/>
        <w:trPr/>
        <w:tc>
          <w:tcPr>
            <w:tcW w:w="22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78BAA5A">
            <w:pPr>
              <w:pStyle w:val="style0"/>
              <w:jc w:val="left"/>
              <w:rPr/>
            </w:pPr>
            <w:r>
              <w:rPr>
                <w:b w:val="false"/>
                <w:bCs w:val="false"/>
              </w:rPr>
              <w:t>Annual Impact Report</w:t>
            </w:r>
          </w:p>
        </w:tc>
        <w:tc>
          <w:tcPr>
            <w:tcW w:w="15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F7B8FBE2">
            <w:pPr>
              <w:pStyle w:val="style0"/>
              <w:jc w:val="left"/>
              <w:rPr/>
            </w:pPr>
            <w:r>
              <w:rPr>
                <w:b w:val="false"/>
                <w:bCs w:val="false"/>
              </w:rPr>
              <w:t>Annually</w:t>
            </w:r>
          </w:p>
        </w:tc>
        <w:tc>
          <w:tcPr>
            <w:tcW w:w="2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1ED245E">
            <w:pPr>
              <w:pStyle w:val="style0"/>
              <w:jc w:val="left"/>
              <w:rPr/>
            </w:pPr>
            <w:r>
              <w:rPr>
                <w:b w:val="false"/>
                <w:bCs w:val="false"/>
              </w:rPr>
              <w:t>Coordinator + Trust</w:t>
            </w:r>
          </w:p>
        </w:tc>
        <w:tc>
          <w:tcPr>
            <w:tcW w:w="37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5A75D028">
            <w:pPr>
              <w:pStyle w:val="style0"/>
              <w:spacing w:after="60"/>
              <w:rPr/>
            </w:pPr>
            <w:r>
              <w:t>Children served</w:t>
            </w:r>
          </w:p>
          <w:p w14:paraId="BC78D5A2">
            <w:pPr>
              <w:pStyle w:val="style0"/>
              <w:spacing w:after="60"/>
              <w:rPr/>
            </w:pPr>
            <w:r>
              <w:t>Uptime % per plant</w:t>
            </w:r>
          </w:p>
          <w:p w14:paraId="68C14CFC">
            <w:pPr>
              <w:pStyle w:val="style0"/>
              <w:spacing w:after="60"/>
              <w:rPr/>
            </w:pPr>
            <w:r>
              <w:t>Cost per child</w:t>
            </w:r>
          </w:p>
          <w:p w14:paraId="D164615C">
            <w:pPr>
              <w:pStyle w:val="style0"/>
              <w:spacing w:after="0"/>
              <w:rPr/>
            </w:pPr>
            <w:r>
              <w:t>Narrative and photographs for donor/website use</w:t>
            </w:r>
          </w:p>
        </w:tc>
      </w:tr>
      <w:tr w14:paraId="02025578">
        <w:tblPrEx/>
        <w:trPr/>
        <w:tc>
          <w:tcPr>
            <w:tcW w:w="22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CBE74DC3">
            <w:pPr>
              <w:pStyle w:val="style0"/>
              <w:jc w:val="left"/>
              <w:rPr/>
            </w:pPr>
            <w:r>
              <w:rPr>
                <w:b w:val="false"/>
                <w:bCs w:val="false"/>
              </w:rPr>
              <w:t>Incident/Breakdown Report</w:t>
            </w:r>
          </w:p>
        </w:tc>
        <w:tc>
          <w:tcPr>
            <w:tcW w:w="15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97B5F1E">
            <w:pPr>
              <w:pStyle w:val="style0"/>
              <w:jc w:val="left"/>
              <w:rPr/>
            </w:pPr>
            <w:r>
              <w:rPr>
                <w:b w:val="false"/>
                <w:bCs w:val="false"/>
              </w:rPr>
              <w:t>As needed</w:t>
            </w:r>
          </w:p>
        </w:tc>
        <w:tc>
          <w:tcPr>
            <w:tcW w:w="2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4B2AEAF7">
            <w:pPr>
              <w:pStyle w:val="style0"/>
              <w:jc w:val="left"/>
              <w:rPr/>
            </w:pPr>
            <w:r>
              <w:rPr>
                <w:b w:val="false"/>
                <w:bCs w:val="false"/>
              </w:rPr>
              <w:t>Coordinator</w:t>
            </w:r>
          </w:p>
        </w:tc>
        <w:tc>
          <w:tcPr>
            <w:tcW w:w="37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B72521C">
            <w:pPr>
              <w:pStyle w:val="style0"/>
              <w:spacing w:after="0"/>
              <w:rPr/>
            </w:pPr>
            <w:r>
              <w:t>What failed, when reported, response time, resolution</w:t>
            </w:r>
          </w:p>
        </w:tc>
      </w:tr>
    </w:tbl>
    <w:p w14:paraId="C04367A0">
      <w:pPr>
        <w:pStyle w:val="style4106"/>
        <w:rPr/>
      </w:pPr>
      <w:r>
        <w:t>12. Risk Management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854"/>
        <w:gridCol w:w="1551"/>
        <w:gridCol w:w="1551"/>
        <w:gridCol w:w="3791"/>
      </w:tblGrid>
      <w:tr w14:paraId="D2779360">
        <w:trPr>
          <w:tblHeader/>
        </w:trPr>
        <w:tc>
          <w:tcPr>
            <w:tcW w:w="3046"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D4F2A913">
            <w:pPr>
              <w:pStyle w:val="style0"/>
              <w:jc w:val="left"/>
              <w:rPr/>
            </w:pPr>
            <w:r>
              <w:rPr>
                <w:b/>
                <w:bCs/>
                <w:color w:val="ffffff"/>
              </w:rPr>
              <w:t>Risk</w:t>
            </w:r>
          </w:p>
        </w:tc>
        <w:tc>
          <w:tcPr>
            <w:tcW w:w="1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23BAC3D8">
            <w:pPr>
              <w:pStyle w:val="style0"/>
              <w:jc w:val="left"/>
              <w:rPr/>
            </w:pPr>
            <w:r>
              <w:rPr>
                <w:b/>
                <w:bCs/>
                <w:color w:val="ffffff"/>
              </w:rPr>
              <w:t>Likelihood</w:t>
            </w:r>
          </w:p>
        </w:tc>
        <w:tc>
          <w:tcPr>
            <w:tcW w:w="13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1056D681">
            <w:pPr>
              <w:pStyle w:val="style0"/>
              <w:jc w:val="left"/>
              <w:rPr/>
            </w:pPr>
            <w:r>
              <w:rPr>
                <w:b/>
                <w:bCs/>
                <w:color w:val="ffffff"/>
              </w:rPr>
              <w:t>Impact</w:t>
            </w:r>
          </w:p>
        </w:tc>
        <w:tc>
          <w:tcPr>
            <w:tcW w:w="4100" w:type="dxa"/>
            <w:tcBorders>
              <w:top w:val="single" w:sz="2" w:space="0" w:color="bfbfbf"/>
              <w:left w:val="single" w:sz="2" w:space="0" w:color="bfbfbf"/>
              <w:bottom w:val="single" w:sz="2" w:space="0" w:color="bfbfbf"/>
              <w:right w:val="single" w:sz="2" w:space="0" w:color="bfbfbf"/>
            </w:tcBorders>
            <w:shd w:val="clear" w:color="auto" w:fill="1f3864"/>
            <w:tcMar>
              <w:top w:w="100" w:type="dxa"/>
              <w:left w:w="130" w:type="dxa"/>
              <w:bottom w:w="100" w:type="dxa"/>
              <w:right w:w="130" w:type="dxa"/>
            </w:tcMar>
            <w:vAlign w:val="center"/>
          </w:tcPr>
          <w:p w14:paraId="DCF7461D">
            <w:pPr>
              <w:pStyle w:val="style0"/>
              <w:jc w:val="left"/>
              <w:rPr/>
            </w:pPr>
            <w:r>
              <w:rPr>
                <w:b/>
                <w:bCs/>
                <w:color w:val="ffffff"/>
              </w:rPr>
              <w:t>Mitigation</w:t>
            </w:r>
          </w:p>
        </w:tc>
      </w:tr>
      <w:tr w14:paraId="C97E7FD1">
        <w:tblPrEx/>
        <w:trPr/>
        <w:tc>
          <w:tcPr>
            <w:tcW w:w="3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C0D8BF17">
            <w:pPr>
              <w:pStyle w:val="style0"/>
              <w:jc w:val="left"/>
              <w:rPr/>
            </w:pPr>
            <w:r>
              <w:rPr>
                <w:b w:val="false"/>
                <w:bCs w:val="false"/>
              </w:rPr>
              <w:t>AMC vendor under-delivers on service visits</w:t>
            </w:r>
          </w:p>
        </w:tc>
        <w:tc>
          <w:tcPr>
            <w:tcW w:w="1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F475F4A">
            <w:pPr>
              <w:pStyle w:val="style0"/>
              <w:jc w:val="left"/>
              <w:rPr/>
            </w:pPr>
            <w:r>
              <w:rPr>
                <w:b w:val="false"/>
                <w:bCs w:val="false"/>
              </w:rPr>
              <w:t>Medium</w:t>
            </w:r>
          </w:p>
        </w:tc>
        <w:tc>
          <w:tcPr>
            <w:tcW w:w="1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4CD5E9A1">
            <w:pPr>
              <w:pStyle w:val="style0"/>
              <w:jc w:val="left"/>
              <w:rPr/>
            </w:pPr>
            <w:r>
              <w:rPr>
                <w:b w:val="false"/>
                <w:bCs w:val="false"/>
              </w:rPr>
              <w:t>High</w:t>
            </w:r>
          </w:p>
        </w:tc>
        <w:tc>
          <w:tcPr>
            <w:tcW w:w="41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DCA868AF">
            <w:pPr>
              <w:pStyle w:val="style0"/>
              <w:jc w:val="left"/>
              <w:rPr/>
            </w:pPr>
            <w:r>
              <w:rPr>
                <w:b w:val="false"/>
                <w:bCs w:val="false"/>
              </w:rPr>
              <w:t>Build penalty clauses into the AMC contract; Coordinator verifies each visit independently.</w:t>
            </w:r>
          </w:p>
        </w:tc>
      </w:tr>
      <w:tr w14:paraId="8CB3CB90">
        <w:tblPrEx/>
        <w:trPr/>
        <w:tc>
          <w:tcPr>
            <w:tcW w:w="3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05FC52E9">
            <w:pPr>
              <w:pStyle w:val="style0"/>
              <w:jc w:val="left"/>
              <w:rPr/>
            </w:pPr>
            <w:r>
              <w:rPr>
                <w:b w:val="false"/>
                <w:bCs w:val="false"/>
              </w:rPr>
              <w:t>Equipment misuse or vandalism</w:t>
            </w:r>
          </w:p>
        </w:tc>
        <w:tc>
          <w:tcPr>
            <w:tcW w:w="1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CBB2E05C">
            <w:pPr>
              <w:pStyle w:val="style0"/>
              <w:jc w:val="left"/>
              <w:rPr/>
            </w:pPr>
            <w:r>
              <w:rPr>
                <w:b w:val="false"/>
                <w:bCs w:val="false"/>
              </w:rPr>
              <w:t>Low–Medium</w:t>
            </w:r>
          </w:p>
        </w:tc>
        <w:tc>
          <w:tcPr>
            <w:tcW w:w="1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E7D8E67E">
            <w:pPr>
              <w:pStyle w:val="style0"/>
              <w:jc w:val="left"/>
              <w:rPr/>
            </w:pPr>
            <w:r>
              <w:rPr>
                <w:b w:val="false"/>
                <w:bCs w:val="false"/>
              </w:rPr>
              <w:t>Medium</w:t>
            </w:r>
          </w:p>
        </w:tc>
        <w:tc>
          <w:tcPr>
            <w:tcW w:w="41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7EFBB47">
            <w:pPr>
              <w:pStyle w:val="style0"/>
              <w:jc w:val="left"/>
              <w:rPr/>
            </w:pPr>
            <w:r>
              <w:rPr>
                <w:b w:val="false"/>
                <w:bCs w:val="false"/>
              </w:rPr>
              <w:t>Lockable RO room/enclosure; water champion as a visible point of local ownership.</w:t>
            </w:r>
          </w:p>
        </w:tc>
      </w:tr>
      <w:tr w14:paraId="47585556">
        <w:tblPrEx/>
        <w:trPr/>
        <w:tc>
          <w:tcPr>
            <w:tcW w:w="3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23B719D0">
            <w:pPr>
              <w:pStyle w:val="style0"/>
              <w:jc w:val="left"/>
              <w:rPr/>
            </w:pPr>
            <w:r>
              <w:rPr>
                <w:b w:val="false"/>
                <w:bCs w:val="false"/>
              </w:rPr>
              <w:t>Source water quality changes seasonally (e.g., monsoon turbidity spikes)</w:t>
            </w:r>
          </w:p>
        </w:tc>
        <w:tc>
          <w:tcPr>
            <w:tcW w:w="1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34746FB">
            <w:pPr>
              <w:pStyle w:val="style0"/>
              <w:jc w:val="left"/>
              <w:rPr/>
            </w:pPr>
            <w:r>
              <w:rPr>
                <w:b w:val="false"/>
                <w:bCs w:val="false"/>
              </w:rPr>
              <w:t>Medium</w:t>
            </w:r>
          </w:p>
        </w:tc>
        <w:tc>
          <w:tcPr>
            <w:tcW w:w="1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B1B44DAE">
            <w:pPr>
              <w:pStyle w:val="style0"/>
              <w:jc w:val="left"/>
              <w:rPr/>
            </w:pPr>
            <w:r>
              <w:rPr>
                <w:b w:val="false"/>
                <w:bCs w:val="false"/>
              </w:rPr>
              <w:t>Medium</w:t>
            </w:r>
          </w:p>
        </w:tc>
        <w:tc>
          <w:tcPr>
            <w:tcW w:w="41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2F61F13D">
            <w:pPr>
              <w:pStyle w:val="style0"/>
              <w:jc w:val="left"/>
              <w:rPr/>
            </w:pPr>
            <w:r>
              <w:rPr>
                <w:b w:val="false"/>
                <w:bCs w:val="false"/>
              </w:rPr>
              <w:t>Quarterly testing catches drift early; pre-filtration stage sized with margin.</w:t>
            </w:r>
          </w:p>
        </w:tc>
      </w:tr>
      <w:tr w14:paraId="AA17DB12">
        <w:tblPrEx/>
        <w:trPr/>
        <w:tc>
          <w:tcPr>
            <w:tcW w:w="3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FDD3FD82">
            <w:pPr>
              <w:pStyle w:val="style0"/>
              <w:jc w:val="left"/>
              <w:rPr/>
            </w:pPr>
            <w:r>
              <w:rPr>
                <w:b w:val="false"/>
                <w:bCs w:val="false"/>
              </w:rPr>
              <w:t>Coordinator attrition / single point of failure</w:t>
            </w:r>
          </w:p>
        </w:tc>
        <w:tc>
          <w:tcPr>
            <w:tcW w:w="1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264CB0E">
            <w:pPr>
              <w:pStyle w:val="style0"/>
              <w:jc w:val="left"/>
              <w:rPr/>
            </w:pPr>
            <w:r>
              <w:rPr>
                <w:b w:val="false"/>
                <w:bCs w:val="false"/>
              </w:rPr>
              <w:t>Medium</w:t>
            </w:r>
          </w:p>
        </w:tc>
        <w:tc>
          <w:tcPr>
            <w:tcW w:w="1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5BCA21B6">
            <w:pPr>
              <w:pStyle w:val="style0"/>
              <w:jc w:val="left"/>
              <w:rPr/>
            </w:pPr>
            <w:r>
              <w:rPr>
                <w:b w:val="false"/>
                <w:bCs w:val="false"/>
              </w:rPr>
              <w:t>High</w:t>
            </w:r>
          </w:p>
        </w:tc>
        <w:tc>
          <w:tcPr>
            <w:tcW w:w="41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3B25F71">
            <w:pPr>
              <w:pStyle w:val="style0"/>
              <w:jc w:val="left"/>
              <w:rPr/>
            </w:pPr>
            <w:r>
              <w:rPr>
                <w:b w:val="false"/>
                <w:bCs w:val="false"/>
              </w:rPr>
              <w:t>Document all SOPs and contacts; cross-train a GLA University outreach staff member as backup contact for the Vrindavan cluster.</w:t>
            </w:r>
          </w:p>
        </w:tc>
      </w:tr>
      <w:tr w14:paraId="38A06D03">
        <w:tblPrEx/>
        <w:trPr/>
        <w:tc>
          <w:tcPr>
            <w:tcW w:w="3046"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05F3AA3E">
            <w:pPr>
              <w:pStyle w:val="style0"/>
              <w:jc w:val="left"/>
              <w:rPr/>
            </w:pPr>
            <w:r>
              <w:rPr>
                <w:b w:val="false"/>
                <w:bCs w:val="false"/>
              </w:rPr>
              <w:t>Budget overrun on membrane replacement or electricity</w:t>
            </w:r>
          </w:p>
        </w:tc>
        <w:tc>
          <w:tcPr>
            <w:tcW w:w="1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76E5E661">
            <w:pPr>
              <w:pStyle w:val="style0"/>
              <w:jc w:val="left"/>
              <w:rPr/>
            </w:pPr>
            <w:r>
              <w:rPr>
                <w:b w:val="false"/>
                <w:bCs w:val="false"/>
              </w:rPr>
              <w:t>Medium</w:t>
            </w:r>
          </w:p>
        </w:tc>
        <w:tc>
          <w:tcPr>
            <w:tcW w:w="13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F27A7721">
            <w:pPr>
              <w:pStyle w:val="style0"/>
              <w:jc w:val="left"/>
              <w:rPr/>
            </w:pPr>
            <w:r>
              <w:rPr>
                <w:b w:val="false"/>
                <w:bCs w:val="false"/>
              </w:rPr>
              <w:t>Medium</w:t>
            </w:r>
          </w:p>
        </w:tc>
        <w:tc>
          <w:tcPr>
            <w:tcW w:w="4100" w:type="dxa"/>
            <w:tcBorders>
              <w:top w:val="single" w:sz="2" w:space="0" w:color="bfbfbf"/>
              <w:left w:val="single" w:sz="2" w:space="0" w:color="bfbfbf"/>
              <w:bottom w:val="single" w:sz="2" w:space="0" w:color="bfbfbf"/>
              <w:right w:val="single" w:sz="2" w:space="0" w:color="bfbfbf"/>
            </w:tcBorders>
            <w:tcMar>
              <w:top w:w="100" w:type="dxa"/>
              <w:left w:w="130" w:type="dxa"/>
              <w:bottom w:w="100" w:type="dxa"/>
              <w:right w:w="130" w:type="dxa"/>
            </w:tcMar>
            <w:vAlign w:val="center"/>
          </w:tcPr>
          <w:p w14:paraId="E2BC0BF8">
            <w:pPr>
              <w:pStyle w:val="style0"/>
              <w:jc w:val="left"/>
              <w:rPr/>
            </w:pPr>
            <w:r>
              <w:rPr>
                <w:b w:val="false"/>
                <w:bCs w:val="false"/>
              </w:rPr>
              <w:t>5% contingency built into each year's budget; track actual O&amp;M cost per plant from Year 1 to refine Year 2–3 estimates.</w:t>
            </w:r>
          </w:p>
        </w:tc>
      </w:tr>
      <w:tr w14:paraId="5CC6BA67">
        <w:tblPrEx/>
        <w:trPr/>
        <w:tc>
          <w:tcPr>
            <w:tcW w:w="3046"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1BE246DC">
            <w:pPr>
              <w:pStyle w:val="style0"/>
              <w:jc w:val="left"/>
              <w:rPr/>
            </w:pPr>
            <w:r>
              <w:rPr>
                <w:b w:val="false"/>
                <w:bCs w:val="false"/>
              </w:rPr>
              <w:t>School administration turnover disrupts continuity</w:t>
            </w:r>
          </w:p>
        </w:tc>
        <w:tc>
          <w:tcPr>
            <w:tcW w:w="1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837C9E78">
            <w:pPr>
              <w:pStyle w:val="style0"/>
              <w:jc w:val="left"/>
              <w:rPr/>
            </w:pPr>
            <w:r>
              <w:rPr>
                <w:b w:val="false"/>
                <w:bCs w:val="false"/>
              </w:rPr>
              <w:t>Medium</w:t>
            </w:r>
          </w:p>
        </w:tc>
        <w:tc>
          <w:tcPr>
            <w:tcW w:w="13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A0712012">
            <w:pPr>
              <w:pStyle w:val="style0"/>
              <w:jc w:val="left"/>
              <w:rPr/>
            </w:pPr>
            <w:r>
              <w:rPr>
                <w:b w:val="false"/>
                <w:bCs w:val="false"/>
              </w:rPr>
              <w:t>Low–Medium</w:t>
            </w:r>
          </w:p>
        </w:tc>
        <w:tc>
          <w:tcPr>
            <w:tcW w:w="4100" w:type="dxa"/>
            <w:tcBorders>
              <w:top w:val="single" w:sz="2" w:space="0" w:color="bfbfbf"/>
              <w:left w:val="single" w:sz="2" w:space="0" w:color="bfbfbf"/>
              <w:bottom w:val="single" w:sz="2" w:space="0" w:color="bfbfbf"/>
              <w:right w:val="single" w:sz="2" w:space="0" w:color="bfbfbf"/>
            </w:tcBorders>
            <w:shd w:val="clear" w:color="auto" w:fill="f2f2f2"/>
            <w:tcMar>
              <w:top w:w="100" w:type="dxa"/>
              <w:left w:w="130" w:type="dxa"/>
              <w:bottom w:w="100" w:type="dxa"/>
              <w:right w:w="130" w:type="dxa"/>
            </w:tcMar>
            <w:vAlign w:val="center"/>
          </w:tcPr>
          <w:p w14:paraId="3B4E9E0B">
            <w:pPr>
              <w:pStyle w:val="style0"/>
              <w:jc w:val="left"/>
              <w:rPr/>
            </w:pPr>
            <w:r>
              <w:rPr>
                <w:b w:val="false"/>
                <w:bCs w:val="false"/>
              </w:rPr>
              <w:t>MoU lodged with the school management committee, not an individual; Coordinator re-briefs new staff promptly.</w:t>
            </w:r>
          </w:p>
        </w:tc>
      </w:tr>
    </w:tbl>
    <w:p w14:paraId="82A2EFD6">
      <w:pPr>
        <w:pStyle w:val="style4106"/>
        <w:rPr/>
      </w:pPr>
      <w:r>
        <w:t>13. Recommendation and Conclusion</w:t>
      </w:r>
    </w:p>
    <w:p w14:paraId="214AB59A">
      <w:pPr>
        <w:pStyle w:val="style0"/>
        <w:spacing w:after="160"/>
        <w:rPr/>
      </w:pPr>
      <w:r>
        <w:t>This paper recommends that Maitri Seva Trust approve a Year 1 budget of approximately ₹12.0 lakh, within its stated ₹5–15 lakh investment band, to: sign a short MoU with GLA University; complete site assessments at all nine schools; install commercial RO systems with storage tanks at the two Gurgaon schools and four priority Vrindavan-area villages; hire a dedicated Field Coordinator based near GLA University's Vrindavan campus; and put in place the monitoring, control, and reporting structure described in Sections 9–11 from day one of installation, not as an afterthought.</w:t>
      </w:r>
    </w:p>
    <w:p w14:paraId="DAAD4153">
      <w:pPr>
        <w:pStyle w:val="style0"/>
        <w:spacing w:after="160"/>
        <w:rPr/>
      </w:pPr>
      <w:r>
        <w:t>The defining design choice in this plan is to treat ongoing monitoring and maintenance as inseparable from the capital outlay. A well-built RO plant with no committed coordinator, no AMC discipline, and no recurring water-quality testing is a depreciating asset within a year or two; the same capital, paired with the staffing and control framework set out here, is a durable improvement in children's health and school attendance across nine villages — and a credible foundation for the Trust to scale the model further in Years 2 and 3.</w:t>
      </w:r>
    </w:p>
    <w:sectPr>
      <w:headerReference w:type="default" r:id="rId2"/>
      <w:footerReference w:type="default" r:id="rId3"/>
      <w:pgSz w:w="11906" w:h="16838" w:orient="portrait"/>
      <w:pgMar w:top="1080" w:right="1080" w:bottom="1080" w:left="1080" w:header="708" w:footer="708"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97BCF98">
    <w:pPr>
      <w:pStyle w:val="style0"/>
      <w:jc w:val="center"/>
      <w:rPr/>
    </w:pP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Pr>
        <w:color w:val="808080"/>
        <w:sz w:val="16"/>
        <w:szCs w:val="16"/>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1FBEBC7">
    <w:pPr>
      <w:pStyle w:val="style0"/>
      <w:pBdr>
        <w:bottom w:val="single" w:sz="4" w:space="4" w:color="bfbfbf"/>
      </w:pBdr>
      <w:tabs>
        <w:tab w:val="right" w:leader="none" w:pos="9026"/>
      </w:tabs>
      <w:rPr/>
    </w:pPr>
    <w:r>
      <w:rPr>
        <w:color w:val="808080"/>
        <w:sz w:val="16"/>
        <w:szCs w:val="16"/>
      </w:rPr>
      <w:t>Maitri Seva Trust</w:t>
    </w:r>
    <w:r>
      <w:rPr>
        <w:color w:val="808080"/>
        <w:sz w:val="16"/>
        <w:szCs w:val="16"/>
      </w:rPr>
      <w:tab/>
      <w:t>Rural School RO Water Initiative — White 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1">
    <w:nsid w:val="00000001"/>
    <w:multiLevelType w:val="hybridMultilevel"/>
    <w:tmpl w:val="FFFFFFFF"/>
    <w:lvl w:ilvl="0" w:tentative="1">
      <w:start w:val="1"/>
      <w:numFmt w:val="bullet"/>
      <w:lvlText w:val="•"/>
      <w:lvlJc w:val="left"/>
      <w:pPr>
        <w:ind w:left="520" w:hanging="320"/>
      </w:pPr>
    </w:lvl>
    <w:lvl w:ilvl="1" w:tentative="1">
      <w:start w:val="1"/>
      <w:numFmt w:val="bullet"/>
      <w:lvlText w:val="—"/>
      <w:lvlJc w:val="left"/>
      <w:pPr>
        <w:ind w:left="980" w:hanging="320"/>
      </w:pPr>
    </w:lvl>
  </w:abstractNum>
  <w:abstractNum w:abstractNumId="2">
    <w:nsid w:val="00000002"/>
    <w:multiLevelType w:val="hybridMultilevel"/>
    <w:tmpl w:val="FFFFFFFF"/>
    <w:lvl w:ilvl="0" w:tentative="1">
      <w:start w:val="1"/>
      <w:numFmt w:val="decimal"/>
      <w:lvlText w:val="%1."/>
      <w:lvlJc w:val="left"/>
      <w:pPr>
        <w:ind w:left="520" w:hanging="320"/>
      </w:pPr>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compatSetting w:name="compatibilityMode" w:uri="http://schemas.microsoft.com/office/word" w:val="15"/>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color w:val="262626"/>
        <w:sz w:val="22"/>
        <w:szCs w:val="22"/>
      </w:rPr>
    </w:rPrDefault>
    <w:pPrDefault>
      <w:pPr/>
    </w:pPrDefault>
  </w:docDefaults>
  <w:style w:type="paragraph" w:styleId="style62">
    <w:name w:val="Title"/>
    <w:next w:val="style62"/>
    <w:qFormat/>
    <w:pPr/>
    <w:rPr>
      <w:sz w:val="56"/>
      <w:szCs w:val="56"/>
    </w:rPr>
  </w:style>
  <w:style w:type="paragraph" w:customStyle="1" w:styleId="style4106">
    <w:name w:val="Heading 1"/>
    <w:next w:val="style4106"/>
    <w:qFormat/>
    <w:pPr>
      <w:pBdr>
        <w:bottom w:val="single" w:sz="6" w:space="4" w:color="1f6f6b"/>
      </w:pBdr>
      <w:spacing w:before="360" w:after="200"/>
      <w:outlineLvl w:val="0"/>
    </w:pPr>
    <w:rPr>
      <w:rFonts w:ascii="Calibri" w:cs="Calibri" w:eastAsia="Calibri" w:hAnsi="Calibri"/>
      <w:b/>
      <w:bCs/>
      <w:color w:val="1f3864"/>
      <w:sz w:val="30"/>
      <w:szCs w:val="30"/>
    </w:rPr>
  </w:style>
  <w:style w:type="paragraph" w:customStyle="1" w:styleId="style4107">
    <w:name w:val="Heading 2"/>
    <w:next w:val="style4107"/>
    <w:qFormat/>
    <w:pPr>
      <w:spacing w:before="240" w:after="140"/>
      <w:outlineLvl w:val="1"/>
    </w:pPr>
    <w:rPr>
      <w:rFonts w:ascii="Calibri" w:cs="Calibri" w:eastAsia="Calibri" w:hAnsi="Calibri"/>
      <w:b/>
      <w:bCs/>
      <w:color w:val="1f6f6b"/>
      <w:sz w:val="24"/>
      <w:szCs w:val="24"/>
    </w:rPr>
  </w:style>
  <w:style w:type="paragraph" w:customStyle="1" w:styleId="style4099">
    <w:name w:val="Heading 3"/>
    <w:next w:val="style4099"/>
    <w:qFormat/>
    <w:pPr/>
    <w:rPr>
      <w:color w:val="1f4d78"/>
      <w:sz w:val="24"/>
      <w:szCs w:val="24"/>
    </w:rPr>
  </w:style>
  <w:style w:type="paragraph" w:customStyle="1" w:styleId="style4100">
    <w:name w:val="Heading 4"/>
    <w:next w:val="style4100"/>
    <w:qFormat/>
    <w:pPr/>
    <w:rPr>
      <w:i/>
      <w:iCs/>
      <w:color w:val="2e74b5"/>
    </w:rPr>
  </w:style>
  <w:style w:type="paragraph" w:customStyle="1" w:styleId="style4101">
    <w:name w:val="Heading 5"/>
    <w:next w:val="style4101"/>
    <w:qFormat/>
    <w:pPr/>
    <w:rPr>
      <w:color w:val="2e74b5"/>
    </w:rPr>
  </w:style>
  <w:style w:type="paragraph" w:customStyle="1" w:styleId="style4102">
    <w:name w:val="Heading 6"/>
    <w:next w:val="style4102"/>
    <w:qFormat/>
    <w:pPr/>
    <w:rPr>
      <w:color w:val="1f4d78"/>
    </w:rPr>
  </w:style>
  <w:style w:type="paragraph" w:customStyle="1" w:styleId="style4103">
    <w:name w:val="Strong_145005ce-76f8-43ee-93d5-acc7a19fb987"/>
    <w:next w:val="style4103"/>
    <w:qFormat/>
    <w:pPr/>
    <w:rPr>
      <w:b/>
      <w:bCs/>
    </w:rPr>
  </w:style>
  <w:style w:type="paragraph" w:styleId="style179">
    <w:name w:val="List Paragraph"/>
    <w:next w:val="style179"/>
    <w:qFormat/>
    <w:pPr/>
  </w:style>
  <w:style w:type="character" w:styleId="style85">
    <w:name w:val="Hyperlink"/>
    <w:next w:val="style85"/>
    <w:uiPriority w:val="99"/>
    <w:rPr>
      <w:color w:val="0563c1"/>
      <w:u w:val="single"/>
    </w:rPr>
  </w:style>
  <w:style w:type="character" w:styleId="style38">
    <w:name w:val="footnote reference"/>
    <w:next w:val="style38"/>
    <w:uiPriority w:val="99"/>
    <w:rPr>
      <w:vertAlign w:val="superscript"/>
    </w:rPr>
  </w:style>
  <w:style w:type="paragraph" w:styleId="style29">
    <w:name w:val="footnote text"/>
    <w:next w:val="style29"/>
    <w:link w:val="style4104"/>
    <w:uiPriority w:val="99"/>
    <w:pPr>
      <w:spacing w:after="0" w:lineRule="auto" w:line="240"/>
    </w:pPr>
    <w:rPr>
      <w:sz w:val="20"/>
      <w:szCs w:val="20"/>
    </w:rPr>
  </w:style>
  <w:style w:type="character" w:customStyle="1" w:styleId="style4104">
    <w:name w:val="Footnote Text Char"/>
    <w:next w:val="style4104"/>
    <w:link w:val="style29"/>
    <w:uiPriority w:val="99"/>
    <w:rPr>
      <w:sz w:val="20"/>
      <w:szCs w:val="20"/>
    </w:rPr>
  </w:style>
  <w:style w:type="character" w:styleId="style42">
    <w:name w:val="endnote reference"/>
    <w:next w:val="style42"/>
    <w:uiPriority w:val="99"/>
    <w:rPr>
      <w:vertAlign w:val="superscript"/>
    </w:rPr>
  </w:style>
  <w:style w:type="paragraph" w:styleId="style43">
    <w:name w:val="endnote text"/>
    <w:next w:val="style43"/>
    <w:link w:val="style4105"/>
    <w:uiPriority w:val="99"/>
    <w:pPr>
      <w:spacing w:after="0" w:lineRule="auto" w:line="240"/>
    </w:pPr>
    <w:rPr>
      <w:sz w:val="20"/>
      <w:szCs w:val="20"/>
    </w:rPr>
  </w:style>
  <w:style w:type="character" w:customStyle="1" w:styleId="style4105">
    <w:name w:val="Endnote Text Char"/>
    <w:next w:val="style4105"/>
    <w:link w:val="style43"/>
    <w:uiPriority w:val="99"/>
    <w:rPr>
      <w:sz w:val="20"/>
      <w:szCs w:val="20"/>
    </w:rPr>
  </w:style>
  <w:style w:type="paragraph" w:default="1" w:styleId="style0">
    <w:name w:val="Normal"/>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4394</Words>
  <Characters>24967</Characters>
  <Application>WPS Office</Application>
  <Paragraphs>543</Paragraphs>
  <CharactersWithSpaces>28924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2026-06-18T05:53:52Z</dcterms:created>
  <dc:creator>Maitri Seva Trust</dc:creator>
  <lastModifiedBy>2409FPCC4I</lastModifiedBy>
  <dcterms:modified xsi:type="dcterms:W3CDTF">2026-06-18T05:53:52Z</dcterms:modified>
  <revision>1</revision>
  <dc:title>White Paper: Safe &amp; Potable Drinking Water for Rural School Children</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21737e8905444b758d7db7db8ae61a1f_22</vt:lpwstr>
  </property>
</Properties>
</file>